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85"/>
        <w:gridCol w:w="3240"/>
        <w:gridCol w:w="1890"/>
        <w:gridCol w:w="1440"/>
        <w:gridCol w:w="900"/>
        <w:gridCol w:w="990"/>
      </w:tblGrid>
      <w:tr w:rsidR="00E60519" w:rsidRPr="000901EC" w14:paraId="58BD9AD1" w14:textId="77777777" w:rsidTr="00AC6C3A">
        <w:tc>
          <w:tcPr>
            <w:tcW w:w="1885" w:type="dxa"/>
          </w:tcPr>
          <w:p w14:paraId="041CC59C" w14:textId="2212B086" w:rsidR="00E60519" w:rsidRPr="000901EC" w:rsidRDefault="00E60519" w:rsidP="00FC6306">
            <w:pPr>
              <w:rPr>
                <w:rFonts w:ascii="Segoe UI" w:hAnsi="Segoe UI" w:cs="Segoe UI"/>
                <w:b/>
                <w:bCs/>
                <w:sz w:val="22"/>
                <w:szCs w:val="22"/>
              </w:rPr>
            </w:pPr>
            <w:r w:rsidRPr="000901EC">
              <w:rPr>
                <w:rFonts w:ascii="Segoe UI" w:hAnsi="Segoe UI" w:cs="Segoe UI"/>
                <w:b/>
                <w:bCs/>
                <w:sz w:val="22"/>
                <w:szCs w:val="22"/>
              </w:rPr>
              <w:t>Policy Title:</w:t>
            </w:r>
          </w:p>
        </w:tc>
        <w:tc>
          <w:tcPr>
            <w:tcW w:w="6570" w:type="dxa"/>
            <w:gridSpan w:val="3"/>
          </w:tcPr>
          <w:p w14:paraId="5ED5A72B" w14:textId="6BB39563" w:rsidR="00E60519" w:rsidRPr="000901EC" w:rsidRDefault="1EC67826" w:rsidP="00FC6306">
            <w:pPr>
              <w:rPr>
                <w:rFonts w:ascii="Segoe UI" w:hAnsi="Segoe UI" w:cs="Segoe UI"/>
                <w:b/>
                <w:bCs/>
                <w:sz w:val="22"/>
                <w:szCs w:val="22"/>
              </w:rPr>
            </w:pPr>
            <w:r w:rsidRPr="000901EC">
              <w:rPr>
                <w:rFonts w:ascii="Segoe UI" w:hAnsi="Segoe UI" w:cs="Segoe UI"/>
                <w:b/>
                <w:bCs/>
                <w:sz w:val="22"/>
                <w:szCs w:val="22"/>
              </w:rPr>
              <w:t>Probation</w:t>
            </w:r>
            <w:r w:rsidR="4FBB0463" w:rsidRPr="000901EC">
              <w:rPr>
                <w:rFonts w:ascii="Segoe UI" w:hAnsi="Segoe UI" w:cs="Segoe UI"/>
                <w:b/>
                <w:bCs/>
                <w:sz w:val="22"/>
                <w:szCs w:val="22"/>
              </w:rPr>
              <w:t>ary and Non-</w:t>
            </w:r>
            <w:r w:rsidR="1EE69A35" w:rsidRPr="000901EC">
              <w:rPr>
                <w:rFonts w:ascii="Segoe UI" w:hAnsi="Segoe UI" w:cs="Segoe UI"/>
                <w:b/>
                <w:bCs/>
                <w:sz w:val="22"/>
                <w:szCs w:val="22"/>
              </w:rPr>
              <w:t>Probationary</w:t>
            </w:r>
            <w:r w:rsidR="4FBB0463" w:rsidRPr="000901EC">
              <w:rPr>
                <w:rFonts w:ascii="Segoe UI" w:hAnsi="Segoe UI" w:cs="Segoe UI"/>
                <w:b/>
                <w:bCs/>
                <w:sz w:val="22"/>
                <w:szCs w:val="22"/>
              </w:rPr>
              <w:t xml:space="preserve"> </w:t>
            </w:r>
            <w:r w:rsidR="000901EC" w:rsidRPr="000901EC">
              <w:rPr>
                <w:rFonts w:ascii="Segoe UI" w:hAnsi="Segoe UI" w:cs="Segoe UI"/>
                <w:b/>
                <w:bCs/>
                <w:sz w:val="22"/>
                <w:szCs w:val="22"/>
              </w:rPr>
              <w:t>C</w:t>
            </w:r>
            <w:r w:rsidR="4FBB0463" w:rsidRPr="000901EC">
              <w:rPr>
                <w:rFonts w:ascii="Segoe UI" w:hAnsi="Segoe UI" w:cs="Segoe UI"/>
                <w:b/>
                <w:bCs/>
                <w:sz w:val="22"/>
                <w:szCs w:val="22"/>
              </w:rPr>
              <w:t>redits</w:t>
            </w:r>
            <w:r w:rsidR="1510494C" w:rsidRPr="000901EC">
              <w:rPr>
                <w:rFonts w:ascii="Segoe UI" w:hAnsi="Segoe UI" w:cs="Segoe UI"/>
                <w:b/>
                <w:bCs/>
                <w:sz w:val="22"/>
                <w:szCs w:val="22"/>
              </w:rPr>
              <w:t xml:space="preserve"> – </w:t>
            </w:r>
            <w:r w:rsidR="3286788D" w:rsidRPr="000901EC">
              <w:rPr>
                <w:rFonts w:ascii="Segoe UI" w:hAnsi="Segoe UI" w:cs="Segoe UI"/>
                <w:b/>
                <w:bCs/>
                <w:sz w:val="22"/>
                <w:szCs w:val="22"/>
              </w:rPr>
              <w:t>Internal</w:t>
            </w:r>
            <w:r w:rsidR="1510494C" w:rsidRPr="000901EC">
              <w:rPr>
                <w:rFonts w:ascii="Segoe UI" w:hAnsi="Segoe UI" w:cs="Segoe UI"/>
                <w:b/>
                <w:bCs/>
                <w:sz w:val="22"/>
                <w:szCs w:val="22"/>
              </w:rPr>
              <w:t xml:space="preserve"> Apprentice</w:t>
            </w:r>
          </w:p>
        </w:tc>
        <w:tc>
          <w:tcPr>
            <w:tcW w:w="900" w:type="dxa"/>
          </w:tcPr>
          <w:p w14:paraId="457B10FC" w14:textId="07D0004B" w:rsidR="00E60519" w:rsidRPr="000901EC" w:rsidRDefault="00B62A88" w:rsidP="00FC6306">
            <w:pPr>
              <w:rPr>
                <w:rFonts w:ascii="Segoe UI" w:hAnsi="Segoe UI" w:cs="Segoe UI"/>
                <w:b/>
                <w:bCs/>
                <w:sz w:val="22"/>
                <w:szCs w:val="22"/>
              </w:rPr>
            </w:pPr>
            <w:r w:rsidRPr="000901EC">
              <w:rPr>
                <w:rFonts w:ascii="Segoe UI" w:hAnsi="Segoe UI" w:cs="Segoe UI"/>
                <w:b/>
                <w:bCs/>
                <w:sz w:val="22"/>
                <w:szCs w:val="22"/>
              </w:rPr>
              <w:t>Pages:</w:t>
            </w:r>
          </w:p>
        </w:tc>
        <w:tc>
          <w:tcPr>
            <w:tcW w:w="990" w:type="dxa"/>
          </w:tcPr>
          <w:p w14:paraId="1D4770C3" w14:textId="3ACC63FB" w:rsidR="00E60519" w:rsidRPr="000901EC" w:rsidRDefault="00AC6C3A" w:rsidP="00FC6306">
            <w:pPr>
              <w:rPr>
                <w:rFonts w:ascii="Segoe UI" w:hAnsi="Segoe UI" w:cs="Segoe UI"/>
                <w:b/>
                <w:bCs/>
                <w:sz w:val="22"/>
                <w:szCs w:val="22"/>
              </w:rPr>
            </w:pPr>
            <w:r>
              <w:rPr>
                <w:rFonts w:ascii="Segoe UI" w:hAnsi="Segoe UI" w:cs="Segoe UI"/>
                <w:b/>
                <w:bCs/>
                <w:sz w:val="22"/>
                <w:szCs w:val="22"/>
              </w:rPr>
              <w:t>5</w:t>
            </w:r>
          </w:p>
        </w:tc>
      </w:tr>
      <w:tr w:rsidR="00E60519" w:rsidRPr="000901EC" w14:paraId="5DB2AE40" w14:textId="77777777" w:rsidTr="000901EC">
        <w:tc>
          <w:tcPr>
            <w:tcW w:w="1885" w:type="dxa"/>
          </w:tcPr>
          <w:p w14:paraId="19CA85ED" w14:textId="20E26718" w:rsidR="00E60519" w:rsidRPr="000901EC" w:rsidRDefault="00E60519" w:rsidP="00FC6306">
            <w:pPr>
              <w:rPr>
                <w:rFonts w:ascii="Segoe UI" w:hAnsi="Segoe UI" w:cs="Segoe UI"/>
                <w:b/>
                <w:bCs/>
                <w:sz w:val="22"/>
                <w:szCs w:val="22"/>
              </w:rPr>
            </w:pPr>
            <w:r w:rsidRPr="000901EC">
              <w:rPr>
                <w:rFonts w:ascii="Segoe UI" w:hAnsi="Segoe UI" w:cs="Segoe UI"/>
                <w:b/>
                <w:bCs/>
                <w:sz w:val="22"/>
                <w:szCs w:val="22"/>
              </w:rPr>
              <w:t>Program:</w:t>
            </w:r>
          </w:p>
        </w:tc>
        <w:tc>
          <w:tcPr>
            <w:tcW w:w="8460" w:type="dxa"/>
            <w:gridSpan w:val="5"/>
          </w:tcPr>
          <w:p w14:paraId="09808295" w14:textId="2BECACF9" w:rsidR="00E60519" w:rsidRPr="000901EC" w:rsidRDefault="00B00067" w:rsidP="00FC6306">
            <w:pPr>
              <w:rPr>
                <w:rFonts w:ascii="Segoe UI" w:hAnsi="Segoe UI" w:cs="Segoe UI"/>
                <w:sz w:val="22"/>
                <w:szCs w:val="22"/>
              </w:rPr>
            </w:pPr>
            <w:r w:rsidRPr="000901EC">
              <w:rPr>
                <w:rFonts w:ascii="Segoe UI" w:hAnsi="Segoe UI" w:cs="Segoe UI"/>
                <w:sz w:val="22"/>
                <w:szCs w:val="22"/>
              </w:rPr>
              <w:t>Registered Apprenticeship</w:t>
            </w:r>
          </w:p>
        </w:tc>
      </w:tr>
      <w:tr w:rsidR="00E60519" w:rsidRPr="000901EC" w14:paraId="5A0857C1" w14:textId="77777777" w:rsidTr="000901EC">
        <w:tc>
          <w:tcPr>
            <w:tcW w:w="1885" w:type="dxa"/>
          </w:tcPr>
          <w:p w14:paraId="7CE923AE" w14:textId="2AE9A449" w:rsidR="00E60519" w:rsidRPr="000901EC" w:rsidRDefault="00E60519" w:rsidP="00FC6306">
            <w:pPr>
              <w:rPr>
                <w:rFonts w:ascii="Segoe UI" w:hAnsi="Segoe UI" w:cs="Segoe UI"/>
                <w:b/>
                <w:bCs/>
                <w:sz w:val="22"/>
                <w:szCs w:val="22"/>
              </w:rPr>
            </w:pPr>
            <w:r w:rsidRPr="000901EC">
              <w:rPr>
                <w:rFonts w:ascii="Segoe UI" w:hAnsi="Segoe UI" w:cs="Segoe UI"/>
                <w:b/>
                <w:bCs/>
                <w:sz w:val="22"/>
                <w:szCs w:val="22"/>
              </w:rPr>
              <w:t>Written by:</w:t>
            </w:r>
          </w:p>
        </w:tc>
        <w:tc>
          <w:tcPr>
            <w:tcW w:w="3240" w:type="dxa"/>
          </w:tcPr>
          <w:p w14:paraId="170ACFA9" w14:textId="2ED35006" w:rsidR="00E60519" w:rsidRPr="000901EC" w:rsidRDefault="00D4595E" w:rsidP="00FC6306">
            <w:pPr>
              <w:rPr>
                <w:rFonts w:ascii="Segoe UI" w:hAnsi="Segoe UI" w:cs="Segoe UI"/>
                <w:sz w:val="22"/>
                <w:szCs w:val="22"/>
              </w:rPr>
            </w:pPr>
            <w:r w:rsidRPr="000901EC">
              <w:rPr>
                <w:rFonts w:ascii="Segoe UI" w:hAnsi="Segoe UI" w:cs="Segoe UI"/>
                <w:sz w:val="22"/>
                <w:szCs w:val="22"/>
              </w:rPr>
              <w:t>Diana Lyons</w:t>
            </w:r>
          </w:p>
        </w:tc>
        <w:tc>
          <w:tcPr>
            <w:tcW w:w="1890" w:type="dxa"/>
          </w:tcPr>
          <w:p w14:paraId="14CD4D34" w14:textId="1026C965" w:rsidR="00E60519" w:rsidRPr="000901EC" w:rsidRDefault="00E60519" w:rsidP="00901C0D">
            <w:pPr>
              <w:jc w:val="right"/>
              <w:rPr>
                <w:rFonts w:ascii="Segoe UI" w:hAnsi="Segoe UI" w:cs="Segoe UI"/>
                <w:b/>
                <w:bCs/>
                <w:sz w:val="22"/>
                <w:szCs w:val="22"/>
              </w:rPr>
            </w:pPr>
            <w:r w:rsidRPr="000901EC">
              <w:rPr>
                <w:rFonts w:ascii="Segoe UI" w:hAnsi="Segoe UI" w:cs="Segoe UI"/>
                <w:b/>
                <w:bCs/>
                <w:sz w:val="22"/>
                <w:szCs w:val="22"/>
              </w:rPr>
              <w:t>Approved by:</w:t>
            </w:r>
          </w:p>
        </w:tc>
        <w:tc>
          <w:tcPr>
            <w:tcW w:w="3330" w:type="dxa"/>
            <w:gridSpan w:val="3"/>
          </w:tcPr>
          <w:p w14:paraId="23179052" w14:textId="77777777" w:rsidR="00E60519" w:rsidRPr="000901EC" w:rsidRDefault="00E60519" w:rsidP="00FC6306">
            <w:pPr>
              <w:rPr>
                <w:rFonts w:ascii="Segoe UI" w:hAnsi="Segoe UI" w:cs="Segoe UI"/>
                <w:b/>
                <w:bCs/>
                <w:sz w:val="22"/>
                <w:szCs w:val="22"/>
              </w:rPr>
            </w:pPr>
          </w:p>
        </w:tc>
      </w:tr>
      <w:tr w:rsidR="00E60519" w:rsidRPr="000901EC" w14:paraId="25634843" w14:textId="77777777" w:rsidTr="000901EC">
        <w:tc>
          <w:tcPr>
            <w:tcW w:w="1885" w:type="dxa"/>
          </w:tcPr>
          <w:p w14:paraId="37FFF0F3" w14:textId="358AC1FF" w:rsidR="00E60519" w:rsidRPr="000901EC" w:rsidRDefault="00E60519" w:rsidP="00FC6306">
            <w:pPr>
              <w:rPr>
                <w:rFonts w:ascii="Segoe UI" w:hAnsi="Segoe UI" w:cs="Segoe UI"/>
                <w:b/>
                <w:bCs/>
                <w:sz w:val="22"/>
                <w:szCs w:val="22"/>
              </w:rPr>
            </w:pPr>
            <w:r w:rsidRPr="000901EC">
              <w:rPr>
                <w:rFonts w:ascii="Segoe UI" w:hAnsi="Segoe UI" w:cs="Segoe UI"/>
                <w:b/>
                <w:bCs/>
                <w:sz w:val="22"/>
                <w:szCs w:val="22"/>
              </w:rPr>
              <w:t>Effective Date:</w:t>
            </w:r>
          </w:p>
        </w:tc>
        <w:tc>
          <w:tcPr>
            <w:tcW w:w="3240" w:type="dxa"/>
          </w:tcPr>
          <w:p w14:paraId="70CB7D1B" w14:textId="6B890A59" w:rsidR="00E60519" w:rsidRPr="000901EC" w:rsidRDefault="00435D80" w:rsidP="00FC6306">
            <w:pPr>
              <w:rPr>
                <w:rFonts w:ascii="Segoe UI" w:hAnsi="Segoe UI" w:cs="Segoe UI"/>
                <w:sz w:val="22"/>
                <w:szCs w:val="22"/>
              </w:rPr>
            </w:pPr>
            <w:r w:rsidRPr="000901EC">
              <w:rPr>
                <w:rFonts w:ascii="Segoe UI" w:hAnsi="Segoe UI" w:cs="Segoe UI"/>
                <w:sz w:val="22"/>
                <w:szCs w:val="22"/>
              </w:rPr>
              <w:t>05.27.2025</w:t>
            </w:r>
          </w:p>
        </w:tc>
        <w:tc>
          <w:tcPr>
            <w:tcW w:w="1890" w:type="dxa"/>
          </w:tcPr>
          <w:p w14:paraId="498B650D" w14:textId="52586541" w:rsidR="00E60519" w:rsidRPr="000901EC" w:rsidRDefault="00901C0D" w:rsidP="00901C0D">
            <w:pPr>
              <w:jc w:val="right"/>
              <w:rPr>
                <w:rFonts w:ascii="Segoe UI" w:hAnsi="Segoe UI" w:cs="Segoe UI"/>
                <w:b/>
                <w:bCs/>
                <w:sz w:val="22"/>
                <w:szCs w:val="22"/>
              </w:rPr>
            </w:pPr>
            <w:r w:rsidRPr="000901EC">
              <w:rPr>
                <w:rFonts w:ascii="Segoe UI" w:hAnsi="Segoe UI" w:cs="Segoe UI"/>
                <w:b/>
                <w:bCs/>
                <w:sz w:val="22"/>
                <w:szCs w:val="22"/>
              </w:rPr>
              <w:t>Revision:</w:t>
            </w:r>
          </w:p>
        </w:tc>
        <w:tc>
          <w:tcPr>
            <w:tcW w:w="3330" w:type="dxa"/>
            <w:gridSpan w:val="3"/>
          </w:tcPr>
          <w:p w14:paraId="03B08176" w14:textId="4CE21591" w:rsidR="00E60519" w:rsidRPr="000901EC" w:rsidRDefault="00BD1F94" w:rsidP="00FC6306">
            <w:pPr>
              <w:rPr>
                <w:rFonts w:ascii="Segoe UI" w:hAnsi="Segoe UI" w:cs="Segoe UI"/>
                <w:sz w:val="22"/>
                <w:szCs w:val="22"/>
              </w:rPr>
            </w:pPr>
            <w:r w:rsidRPr="000901EC">
              <w:rPr>
                <w:rFonts w:ascii="Segoe UI" w:hAnsi="Segoe UI" w:cs="Segoe UI"/>
                <w:sz w:val="22"/>
                <w:szCs w:val="22"/>
              </w:rPr>
              <w:t>07/10/2025</w:t>
            </w:r>
          </w:p>
        </w:tc>
      </w:tr>
      <w:tr w:rsidR="004C4097" w:rsidRPr="000901EC" w14:paraId="0EFF2ACA" w14:textId="77777777" w:rsidTr="000901EC">
        <w:tc>
          <w:tcPr>
            <w:tcW w:w="1885" w:type="dxa"/>
          </w:tcPr>
          <w:p w14:paraId="01CFB072" w14:textId="483653C3" w:rsidR="004C4097" w:rsidRPr="000901EC" w:rsidRDefault="004C4097" w:rsidP="00FC6306">
            <w:pPr>
              <w:rPr>
                <w:rFonts w:ascii="Segoe UI" w:hAnsi="Segoe UI" w:cs="Segoe UI"/>
                <w:b/>
                <w:bCs/>
                <w:sz w:val="22"/>
                <w:szCs w:val="22"/>
              </w:rPr>
            </w:pPr>
            <w:r w:rsidRPr="000901EC">
              <w:rPr>
                <w:rFonts w:ascii="Segoe UI" w:hAnsi="Segoe UI" w:cs="Segoe UI"/>
                <w:b/>
                <w:bCs/>
                <w:sz w:val="22"/>
                <w:szCs w:val="22"/>
              </w:rPr>
              <w:t>Reference</w:t>
            </w:r>
          </w:p>
        </w:tc>
        <w:tc>
          <w:tcPr>
            <w:tcW w:w="8460" w:type="dxa"/>
            <w:gridSpan w:val="5"/>
          </w:tcPr>
          <w:p w14:paraId="17B0AAF5" w14:textId="582C19C9" w:rsidR="004C4097" w:rsidRPr="000901EC" w:rsidRDefault="004C4097" w:rsidP="00FC6306">
            <w:pPr>
              <w:rPr>
                <w:rFonts w:ascii="Segoe UI" w:hAnsi="Segoe UI" w:cs="Segoe UI"/>
                <w:sz w:val="22"/>
                <w:szCs w:val="22"/>
              </w:rPr>
            </w:pPr>
            <w:r w:rsidRPr="000901EC">
              <w:rPr>
                <w:rFonts w:ascii="Segoe UI" w:hAnsi="Segoe UI" w:cs="Segoe UI"/>
                <w:sz w:val="22"/>
                <w:szCs w:val="22"/>
              </w:rPr>
              <w:t>Standards of Apprenticeship programs, 16VAC 20-21-50</w:t>
            </w:r>
          </w:p>
        </w:tc>
      </w:tr>
    </w:tbl>
    <w:p w14:paraId="6546D810" w14:textId="11635625" w:rsidR="025D4F79" w:rsidRPr="000901EC" w:rsidRDefault="025D4F79" w:rsidP="025D4F79">
      <w:pPr>
        <w:rPr>
          <w:rFonts w:ascii="Segoe UI" w:hAnsi="Segoe UI" w:cs="Segoe UI"/>
          <w:b/>
          <w:bCs/>
          <w:sz w:val="22"/>
          <w:szCs w:val="22"/>
        </w:rPr>
      </w:pPr>
    </w:p>
    <w:p w14:paraId="4CA4A807" w14:textId="77777777" w:rsidR="00F03158" w:rsidRDefault="00F03158" w:rsidP="00FC6306">
      <w:pPr>
        <w:rPr>
          <w:rFonts w:ascii="Segoe UI" w:hAnsi="Segoe UI" w:cs="Segoe UI"/>
          <w:b/>
          <w:bCs/>
          <w:sz w:val="22"/>
          <w:szCs w:val="22"/>
        </w:rPr>
      </w:pPr>
      <w:r>
        <w:rPr>
          <w:rFonts w:ascii="Segoe UI" w:hAnsi="Segoe UI" w:cs="Segoe UI"/>
          <w:b/>
          <w:bCs/>
          <w:sz w:val="22"/>
          <w:szCs w:val="22"/>
        </w:rPr>
        <w:t>PURPOSE</w:t>
      </w:r>
    </w:p>
    <w:p w14:paraId="53913A2B" w14:textId="1296A8B6" w:rsidR="00F03158" w:rsidRPr="00AC6C3A" w:rsidRDefault="004B1A38" w:rsidP="00FC6306">
      <w:pPr>
        <w:rPr>
          <w:rFonts w:ascii="Segoe UI" w:hAnsi="Segoe UI" w:cs="Segoe UI"/>
          <w:sz w:val="22"/>
          <w:szCs w:val="22"/>
        </w:rPr>
      </w:pPr>
      <w:r w:rsidRPr="004B1A38">
        <w:rPr>
          <w:rFonts w:ascii="Segoe UI" w:hAnsi="Segoe UI" w:cs="Segoe UI"/>
          <w:sz w:val="22"/>
          <w:szCs w:val="22"/>
        </w:rPr>
        <w:t>To define the treatment and recognition of probationary and non-probationary credits in Virginia’s Registered Apprenticeship programs, ensuring compliance with Virginia Administrative Code 16VAC20-21-50 and promoting consistent standards across sponsors and occupations.</w:t>
      </w:r>
    </w:p>
    <w:p w14:paraId="390396E5" w14:textId="77E0A090" w:rsidR="000901EC" w:rsidRPr="000901EC" w:rsidRDefault="00F03158" w:rsidP="00FC6306">
      <w:pPr>
        <w:rPr>
          <w:rFonts w:ascii="Segoe UI" w:hAnsi="Segoe UI" w:cs="Segoe UI"/>
          <w:b/>
          <w:bCs/>
          <w:sz w:val="22"/>
          <w:szCs w:val="22"/>
        </w:rPr>
      </w:pPr>
      <w:r>
        <w:rPr>
          <w:rFonts w:ascii="Segoe UI" w:hAnsi="Segoe UI" w:cs="Segoe UI"/>
          <w:b/>
          <w:bCs/>
          <w:sz w:val="22"/>
          <w:szCs w:val="22"/>
        </w:rPr>
        <w:t>POLICY STATEMENT</w:t>
      </w:r>
    </w:p>
    <w:p w14:paraId="0755C06A" w14:textId="37181A7C" w:rsidR="2CF02D86" w:rsidRPr="000901EC" w:rsidRDefault="00FC6306" w:rsidP="025D4F79">
      <w:pPr>
        <w:rPr>
          <w:rFonts w:ascii="Segoe UI" w:hAnsi="Segoe UI" w:cs="Segoe UI"/>
          <w:b/>
          <w:bCs/>
          <w:sz w:val="22"/>
          <w:szCs w:val="22"/>
        </w:rPr>
      </w:pPr>
      <w:r w:rsidRPr="000901EC">
        <w:rPr>
          <w:rFonts w:ascii="Segoe UI" w:hAnsi="Segoe UI" w:cs="Segoe UI"/>
          <w:sz w:val="22"/>
          <w:szCs w:val="22"/>
        </w:rPr>
        <w:t xml:space="preserve">This policy provides guidelines for Virginia </w:t>
      </w:r>
      <w:r w:rsidR="00556D77">
        <w:rPr>
          <w:rFonts w:ascii="Segoe UI" w:hAnsi="Segoe UI" w:cs="Segoe UI"/>
          <w:sz w:val="22"/>
          <w:szCs w:val="22"/>
        </w:rPr>
        <w:t>W</w:t>
      </w:r>
      <w:r w:rsidRPr="000901EC">
        <w:rPr>
          <w:rFonts w:ascii="Segoe UI" w:hAnsi="Segoe UI" w:cs="Segoe UI"/>
          <w:sz w:val="22"/>
          <w:szCs w:val="22"/>
        </w:rPr>
        <w:t xml:space="preserve">orks </w:t>
      </w:r>
      <w:r w:rsidR="0060218F" w:rsidRPr="000901EC">
        <w:rPr>
          <w:rFonts w:ascii="Segoe UI" w:hAnsi="Segoe UI" w:cs="Segoe UI"/>
          <w:sz w:val="22"/>
          <w:szCs w:val="22"/>
        </w:rPr>
        <w:t>as part</w:t>
      </w:r>
      <w:r w:rsidR="003E5C7F" w:rsidRPr="000901EC">
        <w:rPr>
          <w:rFonts w:ascii="Segoe UI" w:hAnsi="Segoe UI" w:cs="Segoe UI"/>
          <w:sz w:val="22"/>
          <w:szCs w:val="22"/>
        </w:rPr>
        <w:t xml:space="preserve"> of our continued effort to uphold the integrity and consistenc</w:t>
      </w:r>
      <w:r w:rsidR="00556D77">
        <w:rPr>
          <w:rFonts w:ascii="Segoe UI" w:hAnsi="Segoe UI" w:cs="Segoe UI"/>
          <w:sz w:val="22"/>
          <w:szCs w:val="22"/>
        </w:rPr>
        <w:t>y</w:t>
      </w:r>
      <w:r w:rsidR="003E5C7F" w:rsidRPr="000901EC">
        <w:rPr>
          <w:rFonts w:ascii="Segoe UI" w:hAnsi="Segoe UI" w:cs="Segoe UI"/>
          <w:sz w:val="22"/>
          <w:szCs w:val="22"/>
        </w:rPr>
        <w:t xml:space="preserve"> of Registered Apprenticeship programs</w:t>
      </w:r>
      <w:r w:rsidR="005E4A7B" w:rsidRPr="000901EC">
        <w:rPr>
          <w:rFonts w:ascii="Segoe UI" w:hAnsi="Segoe UI" w:cs="Segoe UI"/>
          <w:sz w:val="22"/>
          <w:szCs w:val="22"/>
        </w:rPr>
        <w:t xml:space="preserve">. We </w:t>
      </w:r>
      <w:r w:rsidR="003E5C7F" w:rsidRPr="000901EC">
        <w:rPr>
          <w:rFonts w:ascii="Segoe UI" w:hAnsi="Segoe UI" w:cs="Segoe UI"/>
          <w:sz w:val="22"/>
          <w:szCs w:val="22"/>
        </w:rPr>
        <w:t>hereby clarify</w:t>
      </w:r>
      <w:r w:rsidR="00BB5E59" w:rsidRPr="000901EC">
        <w:rPr>
          <w:rFonts w:ascii="Segoe UI" w:hAnsi="Segoe UI" w:cs="Segoe UI"/>
          <w:sz w:val="22"/>
          <w:szCs w:val="22"/>
        </w:rPr>
        <w:t xml:space="preserve"> the </w:t>
      </w:r>
      <w:r w:rsidR="00A66CD1">
        <w:rPr>
          <w:rFonts w:ascii="Segoe UI" w:hAnsi="Segoe UI" w:cs="Segoe UI"/>
          <w:sz w:val="22"/>
          <w:szCs w:val="22"/>
        </w:rPr>
        <w:t>requirements and recommendations</w:t>
      </w:r>
      <w:r w:rsidR="00A66CD1" w:rsidRPr="000901EC">
        <w:rPr>
          <w:rFonts w:ascii="Segoe UI" w:hAnsi="Segoe UI" w:cs="Segoe UI"/>
          <w:sz w:val="22"/>
          <w:szCs w:val="22"/>
        </w:rPr>
        <w:t xml:space="preserve"> </w:t>
      </w:r>
      <w:r w:rsidR="00BB5E59" w:rsidRPr="000901EC">
        <w:rPr>
          <w:rFonts w:ascii="Segoe UI" w:hAnsi="Segoe UI" w:cs="Segoe UI"/>
          <w:sz w:val="22"/>
          <w:szCs w:val="22"/>
        </w:rPr>
        <w:t xml:space="preserve">regarding the award of </w:t>
      </w:r>
      <w:r w:rsidR="000B483E" w:rsidRPr="000901EC">
        <w:rPr>
          <w:rFonts w:ascii="Segoe UI" w:hAnsi="Segoe UI" w:cs="Segoe UI"/>
          <w:sz w:val="22"/>
          <w:szCs w:val="22"/>
        </w:rPr>
        <w:t>probationary</w:t>
      </w:r>
      <w:r w:rsidR="00A66CD1">
        <w:rPr>
          <w:rFonts w:ascii="Segoe UI" w:hAnsi="Segoe UI" w:cs="Segoe UI"/>
          <w:sz w:val="22"/>
          <w:szCs w:val="22"/>
        </w:rPr>
        <w:t xml:space="preserve"> and </w:t>
      </w:r>
      <w:r w:rsidR="000B483E" w:rsidRPr="000901EC">
        <w:rPr>
          <w:rFonts w:ascii="Segoe UI" w:hAnsi="Segoe UI" w:cs="Segoe UI"/>
          <w:sz w:val="22"/>
          <w:szCs w:val="22"/>
        </w:rPr>
        <w:t>non-probationary credits.</w:t>
      </w:r>
      <w:r w:rsidR="00A66CD1" w:rsidRPr="00A66CD1">
        <w:t xml:space="preserve"> </w:t>
      </w:r>
      <w:r w:rsidR="00A66CD1" w:rsidRPr="00A66CD1">
        <w:rPr>
          <w:rFonts w:ascii="Segoe UI" w:hAnsi="Segoe UI" w:cs="Segoe UI"/>
          <w:sz w:val="22"/>
          <w:szCs w:val="22"/>
        </w:rPr>
        <w:t xml:space="preserve">This policy applies to all sponsors, employers, and apprentices participating in Registered Apprenticeship </w:t>
      </w:r>
      <w:r w:rsidR="00A66CD1">
        <w:rPr>
          <w:rFonts w:ascii="Segoe UI" w:hAnsi="Segoe UI" w:cs="Segoe UI"/>
          <w:sz w:val="22"/>
          <w:szCs w:val="22"/>
        </w:rPr>
        <w:t>P</w:t>
      </w:r>
      <w:r w:rsidR="00A66CD1" w:rsidRPr="00A66CD1">
        <w:rPr>
          <w:rFonts w:ascii="Segoe UI" w:hAnsi="Segoe UI" w:cs="Segoe UI"/>
          <w:sz w:val="22"/>
          <w:szCs w:val="22"/>
        </w:rPr>
        <w:t xml:space="preserve">rograms approved by Virginia </w:t>
      </w:r>
      <w:r w:rsidR="00A66CD1">
        <w:rPr>
          <w:rFonts w:ascii="Segoe UI" w:hAnsi="Segoe UI" w:cs="Segoe UI"/>
          <w:sz w:val="22"/>
          <w:szCs w:val="22"/>
        </w:rPr>
        <w:t>Works</w:t>
      </w:r>
      <w:r w:rsidR="00A66CD1" w:rsidRPr="00A66CD1">
        <w:rPr>
          <w:rFonts w:ascii="Segoe UI" w:hAnsi="Segoe UI" w:cs="Segoe UI"/>
          <w:sz w:val="22"/>
          <w:szCs w:val="22"/>
        </w:rPr>
        <w:t>.</w:t>
      </w:r>
    </w:p>
    <w:p w14:paraId="6DB9C949" w14:textId="32BCD3ED" w:rsidR="000901EC" w:rsidRPr="000901EC" w:rsidRDefault="00F03158" w:rsidP="00FC6306">
      <w:pPr>
        <w:rPr>
          <w:rFonts w:ascii="Segoe UI" w:hAnsi="Segoe UI" w:cs="Segoe UI"/>
          <w:b/>
          <w:bCs/>
          <w:sz w:val="22"/>
          <w:szCs w:val="22"/>
        </w:rPr>
      </w:pPr>
      <w:r>
        <w:rPr>
          <w:rFonts w:ascii="Segoe UI" w:hAnsi="Segoe UI" w:cs="Segoe UI"/>
          <w:b/>
          <w:bCs/>
          <w:sz w:val="22"/>
          <w:szCs w:val="22"/>
        </w:rPr>
        <w:t>DEFINITIONS</w:t>
      </w:r>
    </w:p>
    <w:p w14:paraId="5AFA5314" w14:textId="77777777" w:rsidR="00FB6EA4" w:rsidRPr="0077682D" w:rsidRDefault="00FB6EA4" w:rsidP="00FB6EA4">
      <w:pPr>
        <w:spacing w:before="120" w:after="240" w:line="252" w:lineRule="auto"/>
        <w:contextualSpacing/>
        <w:rPr>
          <w:rFonts w:ascii="Segoe UI" w:hAnsi="Segoe UI" w:cs="Segoe UI"/>
          <w:sz w:val="22"/>
          <w:szCs w:val="22"/>
        </w:rPr>
      </w:pPr>
      <w:proofErr w:type="gramStart"/>
      <w:r w:rsidRPr="0077682D">
        <w:rPr>
          <w:rFonts w:ascii="Segoe UI" w:hAnsi="Segoe UI" w:cs="Segoe UI"/>
          <w:sz w:val="22"/>
          <w:szCs w:val="22"/>
        </w:rPr>
        <w:t>For the purpose of</w:t>
      </w:r>
      <w:proofErr w:type="gramEnd"/>
      <w:r w:rsidRPr="0077682D">
        <w:rPr>
          <w:rFonts w:ascii="Segoe UI" w:hAnsi="Segoe UI" w:cs="Segoe UI"/>
          <w:sz w:val="22"/>
          <w:szCs w:val="22"/>
        </w:rPr>
        <w:t xml:space="preserve"> this policy: </w:t>
      </w:r>
    </w:p>
    <w:p w14:paraId="505209FF" w14:textId="7FA001CA" w:rsidR="00FB6EA4" w:rsidRPr="0077682D" w:rsidRDefault="00FB6EA4" w:rsidP="00FB6EA4">
      <w:pPr>
        <w:pStyle w:val="ListParagraph"/>
        <w:numPr>
          <w:ilvl w:val="0"/>
          <w:numId w:val="4"/>
        </w:numPr>
        <w:spacing w:before="120" w:after="240" w:line="252" w:lineRule="auto"/>
        <w:rPr>
          <w:rFonts w:ascii="Segoe UI" w:hAnsi="Segoe UI" w:cs="Segoe UI"/>
          <w:sz w:val="22"/>
          <w:szCs w:val="22"/>
        </w:rPr>
      </w:pPr>
      <w:r w:rsidRPr="0077682D">
        <w:rPr>
          <w:rFonts w:ascii="Segoe UI" w:hAnsi="Segoe UI" w:cs="Segoe UI"/>
          <w:sz w:val="22"/>
          <w:szCs w:val="22"/>
        </w:rPr>
        <w:t>“Apprentice” means a person who is registered as an apprentice in a Virginia Works-approved</w:t>
      </w:r>
      <w:r w:rsidR="005D0732">
        <w:rPr>
          <w:rFonts w:ascii="Segoe UI" w:hAnsi="Segoe UI" w:cs="Segoe UI"/>
          <w:sz w:val="22"/>
          <w:szCs w:val="22"/>
        </w:rPr>
        <w:t xml:space="preserve"> </w:t>
      </w:r>
      <w:r w:rsidRPr="0077682D">
        <w:rPr>
          <w:rFonts w:ascii="Segoe UI" w:hAnsi="Segoe UI" w:cs="Segoe UI"/>
          <w:sz w:val="22"/>
          <w:szCs w:val="22"/>
        </w:rPr>
        <w:t xml:space="preserve">registered apprenticeship program within the Commonwealth. </w:t>
      </w:r>
    </w:p>
    <w:p w14:paraId="46D21705" w14:textId="694317F9" w:rsidR="005D0732" w:rsidRPr="00AC6C3A" w:rsidRDefault="005D0732" w:rsidP="00AC6C3A">
      <w:pPr>
        <w:pStyle w:val="ListParagraph"/>
        <w:numPr>
          <w:ilvl w:val="0"/>
          <w:numId w:val="4"/>
        </w:numPr>
        <w:spacing w:before="120" w:after="240" w:line="252" w:lineRule="auto"/>
        <w:rPr>
          <w:rFonts w:ascii="Segoe UI" w:hAnsi="Segoe UI" w:cs="Segoe UI"/>
          <w:sz w:val="22"/>
          <w:szCs w:val="22"/>
        </w:rPr>
      </w:pPr>
      <w:r>
        <w:rPr>
          <w:rFonts w:ascii="Segoe UI" w:hAnsi="Segoe UI" w:cs="Segoe UI"/>
          <w:sz w:val="22"/>
          <w:szCs w:val="22"/>
        </w:rPr>
        <w:t>“</w:t>
      </w:r>
      <w:r w:rsidRPr="00AC6C3A">
        <w:rPr>
          <w:rFonts w:ascii="Segoe UI" w:hAnsi="Segoe UI" w:cs="Segoe UI"/>
          <w:sz w:val="22"/>
          <w:szCs w:val="22"/>
        </w:rPr>
        <w:t>Probationary Period</w:t>
      </w:r>
      <w:r w:rsidR="00684EB7">
        <w:rPr>
          <w:rFonts w:ascii="Segoe UI" w:hAnsi="Segoe UI" w:cs="Segoe UI"/>
          <w:sz w:val="22"/>
          <w:szCs w:val="22"/>
        </w:rPr>
        <w:t>” refers to a</w:t>
      </w:r>
      <w:r w:rsidRPr="00AC6C3A">
        <w:rPr>
          <w:rFonts w:ascii="Segoe UI" w:hAnsi="Segoe UI" w:cs="Segoe UI"/>
          <w:sz w:val="22"/>
          <w:szCs w:val="22"/>
        </w:rPr>
        <w:t xml:space="preserve"> defined initial segment of the apprenticeship, not exceeding 25% </w:t>
      </w:r>
      <w:r w:rsidR="00866B7E">
        <w:rPr>
          <w:rFonts w:ascii="Segoe UI" w:hAnsi="Segoe UI" w:cs="Segoe UI"/>
          <w:sz w:val="22"/>
          <w:szCs w:val="22"/>
        </w:rPr>
        <w:t xml:space="preserve">of the length of the program or one year, </w:t>
      </w:r>
      <w:r w:rsidR="00D77ECF">
        <w:rPr>
          <w:rFonts w:ascii="Segoe UI" w:hAnsi="Segoe UI" w:cs="Segoe UI"/>
          <w:sz w:val="22"/>
          <w:szCs w:val="22"/>
        </w:rPr>
        <w:t>during which the</w:t>
      </w:r>
      <w:r w:rsidRPr="00AC6C3A">
        <w:rPr>
          <w:rFonts w:ascii="Segoe UI" w:hAnsi="Segoe UI" w:cs="Segoe UI"/>
          <w:sz w:val="22"/>
          <w:szCs w:val="22"/>
        </w:rPr>
        <w:t xml:space="preserve"> apprentice’s performance is evaluated.</w:t>
      </w:r>
    </w:p>
    <w:p w14:paraId="04CA0598" w14:textId="17A766A3" w:rsidR="005D0732" w:rsidRPr="00AC6C3A" w:rsidRDefault="005D0732" w:rsidP="00AC6C3A">
      <w:pPr>
        <w:pStyle w:val="ListParagraph"/>
        <w:numPr>
          <w:ilvl w:val="0"/>
          <w:numId w:val="4"/>
        </w:numPr>
        <w:spacing w:before="120" w:after="240" w:line="252" w:lineRule="auto"/>
        <w:rPr>
          <w:rFonts w:ascii="Segoe UI" w:hAnsi="Segoe UI" w:cs="Segoe UI"/>
          <w:sz w:val="22"/>
          <w:szCs w:val="22"/>
        </w:rPr>
      </w:pPr>
      <w:r>
        <w:rPr>
          <w:rFonts w:ascii="Segoe UI" w:hAnsi="Segoe UI" w:cs="Segoe UI"/>
          <w:sz w:val="22"/>
          <w:szCs w:val="22"/>
        </w:rPr>
        <w:t>“</w:t>
      </w:r>
      <w:r w:rsidRPr="00AC6C3A">
        <w:rPr>
          <w:rFonts w:ascii="Segoe UI" w:hAnsi="Segoe UI" w:cs="Segoe UI"/>
          <w:sz w:val="22"/>
          <w:szCs w:val="22"/>
        </w:rPr>
        <w:t>Probationary Credit</w:t>
      </w:r>
      <w:r w:rsidR="00684EB7">
        <w:rPr>
          <w:rFonts w:ascii="Segoe UI" w:hAnsi="Segoe UI" w:cs="Segoe UI"/>
          <w:sz w:val="22"/>
          <w:szCs w:val="22"/>
        </w:rPr>
        <w:t>” refers to h</w:t>
      </w:r>
      <w:r w:rsidRPr="00AC6C3A">
        <w:rPr>
          <w:rFonts w:ascii="Segoe UI" w:hAnsi="Segoe UI" w:cs="Segoe UI"/>
          <w:sz w:val="22"/>
          <w:szCs w:val="22"/>
        </w:rPr>
        <w:t xml:space="preserve">ours and instruction earned during the probationary period, conditionally recorded and subject to sponsor and </w:t>
      </w:r>
      <w:r w:rsidR="00490ECC">
        <w:rPr>
          <w:rFonts w:ascii="Segoe UI" w:hAnsi="Segoe UI" w:cs="Segoe UI"/>
          <w:sz w:val="22"/>
          <w:szCs w:val="22"/>
        </w:rPr>
        <w:t>Virginia Works</w:t>
      </w:r>
      <w:r w:rsidRPr="00AC6C3A">
        <w:rPr>
          <w:rFonts w:ascii="Segoe UI" w:hAnsi="Segoe UI" w:cs="Segoe UI"/>
          <w:sz w:val="22"/>
          <w:szCs w:val="22"/>
        </w:rPr>
        <w:t xml:space="preserve"> review.</w:t>
      </w:r>
    </w:p>
    <w:p w14:paraId="55454579" w14:textId="1F9F9351" w:rsidR="005D0732" w:rsidRPr="00AC6C3A" w:rsidRDefault="005D0732" w:rsidP="00AC6C3A">
      <w:pPr>
        <w:pStyle w:val="ListParagraph"/>
        <w:numPr>
          <w:ilvl w:val="0"/>
          <w:numId w:val="4"/>
        </w:numPr>
        <w:spacing w:before="120" w:after="240" w:line="252" w:lineRule="auto"/>
        <w:rPr>
          <w:rFonts w:ascii="Segoe UI" w:hAnsi="Segoe UI" w:cs="Segoe UI"/>
          <w:sz w:val="22"/>
          <w:szCs w:val="22"/>
        </w:rPr>
      </w:pPr>
      <w:r>
        <w:rPr>
          <w:rFonts w:ascii="Segoe UI" w:hAnsi="Segoe UI" w:cs="Segoe UI"/>
          <w:sz w:val="22"/>
          <w:szCs w:val="22"/>
        </w:rPr>
        <w:t>“</w:t>
      </w:r>
      <w:r w:rsidRPr="00AC6C3A">
        <w:rPr>
          <w:rFonts w:ascii="Segoe UI" w:hAnsi="Segoe UI" w:cs="Segoe UI"/>
          <w:sz w:val="22"/>
          <w:szCs w:val="22"/>
        </w:rPr>
        <w:t>Non-Probationary Credit</w:t>
      </w:r>
      <w:r>
        <w:rPr>
          <w:rFonts w:ascii="Segoe UI" w:hAnsi="Segoe UI" w:cs="Segoe UI"/>
          <w:sz w:val="22"/>
          <w:szCs w:val="22"/>
        </w:rPr>
        <w:t>”</w:t>
      </w:r>
      <w:r w:rsidR="00684EB7">
        <w:rPr>
          <w:rFonts w:ascii="Segoe UI" w:hAnsi="Segoe UI" w:cs="Segoe UI"/>
          <w:sz w:val="22"/>
          <w:szCs w:val="22"/>
        </w:rPr>
        <w:t xml:space="preserve"> refers to f</w:t>
      </w:r>
      <w:r w:rsidRPr="00AC6C3A">
        <w:rPr>
          <w:rFonts w:ascii="Segoe UI" w:hAnsi="Segoe UI" w:cs="Segoe UI"/>
          <w:sz w:val="22"/>
          <w:szCs w:val="22"/>
        </w:rPr>
        <w:t>ully recognized hours and instruction earned after successful completion of the probationary period.</w:t>
      </w:r>
    </w:p>
    <w:p w14:paraId="71F12A98" w14:textId="166646F6" w:rsidR="00FB6EA4" w:rsidRDefault="00D77ECF" w:rsidP="00FC6306">
      <w:pPr>
        <w:rPr>
          <w:rFonts w:ascii="Segoe UI" w:hAnsi="Segoe UI" w:cs="Segoe UI"/>
          <w:b/>
          <w:bCs/>
          <w:sz w:val="22"/>
          <w:szCs w:val="22"/>
        </w:rPr>
      </w:pPr>
      <w:r w:rsidRPr="00AC6C3A">
        <w:rPr>
          <w:rFonts w:ascii="Segoe UI" w:hAnsi="Segoe UI" w:cs="Segoe UI"/>
          <w:b/>
          <w:bCs/>
          <w:sz w:val="22"/>
          <w:szCs w:val="22"/>
        </w:rPr>
        <w:t>POLICY PROVISIONS</w:t>
      </w:r>
    </w:p>
    <w:p w14:paraId="646A79EE" w14:textId="43A7DAE1" w:rsidR="005B34CE" w:rsidRPr="000901EC" w:rsidRDefault="005B34CE" w:rsidP="005B34CE">
      <w:pPr>
        <w:rPr>
          <w:rFonts w:ascii="Segoe UI" w:hAnsi="Segoe UI" w:cs="Segoe UI"/>
          <w:color w:val="000000" w:themeColor="text1"/>
          <w:sz w:val="22"/>
          <w:szCs w:val="22"/>
        </w:rPr>
      </w:pPr>
      <w:r w:rsidRPr="000901EC">
        <w:rPr>
          <w:rFonts w:ascii="Segoe UI" w:hAnsi="Segoe UI" w:cs="Segoe UI"/>
          <w:sz w:val="22"/>
          <w:szCs w:val="22"/>
        </w:rPr>
        <w:t>Registered Apprentice</w:t>
      </w:r>
      <w:r>
        <w:rPr>
          <w:rFonts w:ascii="Segoe UI" w:hAnsi="Segoe UI" w:cs="Segoe UI"/>
          <w:sz w:val="22"/>
          <w:szCs w:val="22"/>
        </w:rPr>
        <w:t>s</w:t>
      </w:r>
      <w:r w:rsidRPr="000901EC">
        <w:rPr>
          <w:rFonts w:ascii="Segoe UI" w:hAnsi="Segoe UI" w:cs="Segoe UI"/>
          <w:sz w:val="22"/>
          <w:szCs w:val="22"/>
        </w:rPr>
        <w:t xml:space="preserve"> officially registered in the Commonwealth of Virginia may be placed into a </w:t>
      </w:r>
      <w:r>
        <w:rPr>
          <w:rFonts w:ascii="Segoe UI" w:hAnsi="Segoe UI" w:cs="Segoe UI"/>
          <w:sz w:val="22"/>
          <w:szCs w:val="22"/>
        </w:rPr>
        <w:t>RAP</w:t>
      </w:r>
      <w:r w:rsidRPr="000901EC">
        <w:rPr>
          <w:rFonts w:ascii="Segoe UI" w:hAnsi="Segoe UI" w:cs="Segoe UI"/>
          <w:sz w:val="22"/>
          <w:szCs w:val="22"/>
        </w:rPr>
        <w:t xml:space="preserve"> at any time during their initial hiring probationary period, </w:t>
      </w:r>
      <w:r>
        <w:rPr>
          <w:rFonts w:ascii="Segoe UI" w:hAnsi="Segoe UI" w:cs="Segoe UI"/>
          <w:sz w:val="22"/>
          <w:szCs w:val="22"/>
        </w:rPr>
        <w:t xml:space="preserve">as </w:t>
      </w:r>
      <w:r w:rsidRPr="000901EC">
        <w:rPr>
          <w:rFonts w:ascii="Segoe UI" w:hAnsi="Segoe UI" w:cs="Segoe UI"/>
          <w:sz w:val="22"/>
          <w:szCs w:val="22"/>
        </w:rPr>
        <w:t>authorized and prescribed by the Employer,</w:t>
      </w:r>
      <w:r w:rsidRPr="000901EC">
        <w:rPr>
          <w:rFonts w:ascii="Segoe UI" w:hAnsi="Segoe UI" w:cs="Segoe UI"/>
          <w:color w:val="000000" w:themeColor="text1"/>
          <w:sz w:val="22"/>
          <w:szCs w:val="22"/>
        </w:rPr>
        <w:t xml:space="preserve"> in accordance with 16VAC 20-20-50 Standards for Apprenticeship Programs.</w:t>
      </w:r>
    </w:p>
    <w:p w14:paraId="5205D606" w14:textId="1984C946" w:rsidR="005B34CE" w:rsidRPr="005B34CE" w:rsidRDefault="005B34CE" w:rsidP="00AC6C3A">
      <w:pPr>
        <w:jc w:val="both"/>
        <w:rPr>
          <w:rFonts w:ascii="Segoe UI" w:hAnsi="Segoe UI" w:cs="Segoe UI"/>
          <w:sz w:val="22"/>
          <w:szCs w:val="22"/>
        </w:rPr>
      </w:pPr>
      <w:r w:rsidRPr="000901EC">
        <w:rPr>
          <w:rFonts w:ascii="Segoe UI" w:hAnsi="Segoe UI" w:cs="Segoe UI"/>
          <w:color w:val="000000" w:themeColor="text1"/>
          <w:sz w:val="22"/>
          <w:szCs w:val="22"/>
        </w:rPr>
        <w:t xml:space="preserve">If there is no probationary period in effect, it is at the discretion of the appreciating employer to register the apprentice at any time during the occupations time frame, not to exceed one half of the occupation program. If said time frame exceeds one half of the program, reference the Virginia Works policy </w:t>
      </w:r>
      <w:hyperlink r:id="rId10" w:history="1">
        <w:r w:rsidRPr="00984258">
          <w:rPr>
            <w:rStyle w:val="Hyperlink"/>
            <w:rFonts w:ascii="Segoe UI" w:hAnsi="Segoe UI" w:cs="Segoe UI"/>
            <w:i/>
            <w:iCs/>
            <w:sz w:val="22"/>
            <w:szCs w:val="22"/>
          </w:rPr>
          <w:t xml:space="preserve">Awarding Credit for </w:t>
        </w:r>
        <w:r w:rsidRPr="00984258">
          <w:rPr>
            <w:rStyle w:val="Hyperlink"/>
            <w:rFonts w:ascii="Segoe UI" w:hAnsi="Segoe UI" w:cs="Segoe UI"/>
            <w:i/>
            <w:iCs/>
            <w:sz w:val="22"/>
            <w:szCs w:val="22"/>
          </w:rPr>
          <w:lastRenderedPageBreak/>
          <w:t>Prior Experience</w:t>
        </w:r>
      </w:hyperlink>
      <w:r w:rsidRPr="000901EC">
        <w:rPr>
          <w:rFonts w:ascii="Segoe UI" w:hAnsi="Segoe UI" w:cs="Segoe UI"/>
          <w:i/>
          <w:iCs/>
          <w:color w:val="000000" w:themeColor="text1"/>
          <w:sz w:val="22"/>
          <w:szCs w:val="22"/>
        </w:rPr>
        <w:t xml:space="preserve">. </w:t>
      </w:r>
      <w:r w:rsidRPr="000901EC">
        <w:rPr>
          <w:rFonts w:ascii="Segoe UI" w:hAnsi="Segoe UI" w:cs="Segoe UI"/>
          <w:color w:val="000000" w:themeColor="text1"/>
          <w:sz w:val="22"/>
          <w:szCs w:val="22"/>
        </w:rPr>
        <w:t>Full credit will be given for the initial probationary period toward completion, while the apprentice was being trained.</w:t>
      </w:r>
    </w:p>
    <w:p w14:paraId="60823B60" w14:textId="4149D6D0" w:rsidR="00E47A92" w:rsidRPr="00AC6C3A" w:rsidRDefault="00E47A92" w:rsidP="00AC6C3A">
      <w:pPr>
        <w:pStyle w:val="ListParagraph"/>
        <w:numPr>
          <w:ilvl w:val="0"/>
          <w:numId w:val="9"/>
        </w:numPr>
        <w:spacing w:before="120" w:after="240" w:line="252" w:lineRule="auto"/>
        <w:rPr>
          <w:rFonts w:ascii="Segoe UI" w:hAnsi="Segoe UI" w:cs="Segoe UI"/>
          <w:sz w:val="22"/>
          <w:szCs w:val="22"/>
          <w:u w:val="single"/>
        </w:rPr>
      </w:pPr>
      <w:r w:rsidRPr="00AC6C3A">
        <w:rPr>
          <w:rFonts w:ascii="Segoe UI" w:hAnsi="Segoe UI" w:cs="Segoe UI"/>
          <w:sz w:val="22"/>
          <w:szCs w:val="22"/>
          <w:u w:val="single"/>
        </w:rPr>
        <w:t>Credit Recognition and Classification</w:t>
      </w:r>
    </w:p>
    <w:p w14:paraId="06FEBE5E" w14:textId="77777777" w:rsidR="00714197" w:rsidRDefault="00E47A92" w:rsidP="00236969">
      <w:pPr>
        <w:pStyle w:val="ListParagraph"/>
        <w:numPr>
          <w:ilvl w:val="1"/>
          <w:numId w:val="7"/>
        </w:numPr>
        <w:spacing w:before="120" w:after="240" w:line="252" w:lineRule="auto"/>
        <w:ind w:left="1080"/>
        <w:rPr>
          <w:rFonts w:ascii="Segoe UI" w:hAnsi="Segoe UI" w:cs="Segoe UI"/>
          <w:sz w:val="22"/>
          <w:szCs w:val="22"/>
        </w:rPr>
      </w:pPr>
      <w:r w:rsidRPr="00E47A92">
        <w:rPr>
          <w:rFonts w:ascii="Segoe UI" w:hAnsi="Segoe UI" w:cs="Segoe UI"/>
          <w:sz w:val="22"/>
          <w:szCs w:val="22"/>
        </w:rPr>
        <w:t xml:space="preserve">In Virginia’s Registered Apprenticeship programs, credits earned by apprentices are classified into two distinct categories: probationary and non-probationary. </w:t>
      </w:r>
    </w:p>
    <w:p w14:paraId="2018AA28" w14:textId="77777777" w:rsidR="00ED1706" w:rsidRDefault="00E47A92" w:rsidP="00ED1706">
      <w:pPr>
        <w:pStyle w:val="ListParagraph"/>
        <w:numPr>
          <w:ilvl w:val="2"/>
          <w:numId w:val="8"/>
        </w:numPr>
        <w:spacing w:before="120" w:after="240" w:line="252" w:lineRule="auto"/>
        <w:ind w:left="1440"/>
        <w:rPr>
          <w:rFonts w:ascii="Segoe UI" w:hAnsi="Segoe UI" w:cs="Segoe UI"/>
          <w:sz w:val="22"/>
          <w:szCs w:val="22"/>
        </w:rPr>
      </w:pPr>
      <w:r w:rsidRPr="00AC6C3A">
        <w:rPr>
          <w:rFonts w:ascii="Segoe UI" w:hAnsi="Segoe UI" w:cs="Segoe UI"/>
          <w:i/>
          <w:iCs/>
          <w:sz w:val="22"/>
          <w:szCs w:val="22"/>
        </w:rPr>
        <w:t>Probationary</w:t>
      </w:r>
      <w:r w:rsidRPr="00E47A92">
        <w:rPr>
          <w:rFonts w:ascii="Segoe UI" w:hAnsi="Segoe UI" w:cs="Segoe UI"/>
          <w:sz w:val="22"/>
          <w:szCs w:val="22"/>
        </w:rPr>
        <w:t xml:space="preserve"> credits refer to the hours and instruction accumulated during the initial phase of the apprenticeship, known as the probationary period. These credits are conditionally recorded and subject to review. They are not officially counted toward program completion until the apprentice successfully transitions to non-probationary status.</w:t>
      </w:r>
    </w:p>
    <w:p w14:paraId="7378F279" w14:textId="2256B9CE" w:rsidR="00E47A92" w:rsidRPr="00AC6C3A" w:rsidRDefault="00E47A92" w:rsidP="00AC6C3A">
      <w:pPr>
        <w:pStyle w:val="ListParagraph"/>
        <w:numPr>
          <w:ilvl w:val="2"/>
          <w:numId w:val="8"/>
        </w:numPr>
        <w:spacing w:before="120" w:after="240" w:line="252" w:lineRule="auto"/>
        <w:ind w:left="1440"/>
        <w:rPr>
          <w:rFonts w:ascii="Segoe UI" w:hAnsi="Segoe UI" w:cs="Segoe UI"/>
          <w:sz w:val="22"/>
          <w:szCs w:val="22"/>
        </w:rPr>
      </w:pPr>
      <w:r w:rsidRPr="00AC6C3A">
        <w:rPr>
          <w:rFonts w:ascii="Segoe UI" w:hAnsi="Segoe UI" w:cs="Segoe UI"/>
          <w:i/>
          <w:iCs/>
          <w:sz w:val="22"/>
          <w:szCs w:val="22"/>
        </w:rPr>
        <w:t>Non-probationary</w:t>
      </w:r>
      <w:r w:rsidRPr="00AC6C3A">
        <w:rPr>
          <w:rFonts w:ascii="Segoe UI" w:hAnsi="Segoe UI" w:cs="Segoe UI"/>
          <w:sz w:val="22"/>
          <w:szCs w:val="22"/>
        </w:rPr>
        <w:t xml:space="preserve"> credits are earned after the apprentice has demonstrated satisfactory performance and has been formally accepted into the full apprenticeship program. These credits are fully recognized and applied toward the required on-the-job learning </w:t>
      </w:r>
      <w:r w:rsidR="006711CE">
        <w:rPr>
          <w:rFonts w:ascii="Segoe UI" w:hAnsi="Segoe UI" w:cs="Segoe UI"/>
          <w:sz w:val="22"/>
          <w:szCs w:val="22"/>
        </w:rPr>
        <w:t xml:space="preserve">(minimum 2,000 hours) </w:t>
      </w:r>
      <w:r w:rsidRPr="00AC6C3A">
        <w:rPr>
          <w:rFonts w:ascii="Segoe UI" w:hAnsi="Segoe UI" w:cs="Segoe UI"/>
          <w:sz w:val="22"/>
          <w:szCs w:val="22"/>
        </w:rPr>
        <w:t xml:space="preserve">and related instruction </w:t>
      </w:r>
      <w:r w:rsidR="006711CE">
        <w:rPr>
          <w:rFonts w:ascii="Segoe UI" w:hAnsi="Segoe UI" w:cs="Segoe UI"/>
          <w:sz w:val="22"/>
          <w:szCs w:val="22"/>
        </w:rPr>
        <w:t xml:space="preserve">(minimum 144 </w:t>
      </w:r>
      <w:r w:rsidR="00615B51">
        <w:rPr>
          <w:rFonts w:ascii="Segoe UI" w:hAnsi="Segoe UI" w:cs="Segoe UI"/>
          <w:sz w:val="22"/>
          <w:szCs w:val="22"/>
        </w:rPr>
        <w:t>hours</w:t>
      </w:r>
      <w:r w:rsidR="006711CE">
        <w:rPr>
          <w:rFonts w:ascii="Segoe UI" w:hAnsi="Segoe UI" w:cs="Segoe UI"/>
          <w:sz w:val="22"/>
          <w:szCs w:val="22"/>
        </w:rPr>
        <w:t xml:space="preserve"> per</w:t>
      </w:r>
      <w:r w:rsidR="00615B51">
        <w:rPr>
          <w:rFonts w:ascii="Segoe UI" w:hAnsi="Segoe UI" w:cs="Segoe UI"/>
          <w:sz w:val="22"/>
          <w:szCs w:val="22"/>
        </w:rPr>
        <w:t xml:space="preserve"> </w:t>
      </w:r>
      <w:r w:rsidR="006711CE">
        <w:rPr>
          <w:rFonts w:ascii="Segoe UI" w:hAnsi="Segoe UI" w:cs="Segoe UI"/>
          <w:sz w:val="22"/>
          <w:szCs w:val="22"/>
        </w:rPr>
        <w:t>year</w:t>
      </w:r>
      <w:r w:rsidR="00615B51">
        <w:rPr>
          <w:rFonts w:ascii="Segoe UI" w:hAnsi="Segoe UI" w:cs="Segoe UI"/>
          <w:sz w:val="22"/>
          <w:szCs w:val="22"/>
        </w:rPr>
        <w:t xml:space="preserve">) </w:t>
      </w:r>
      <w:r w:rsidRPr="00AC6C3A">
        <w:rPr>
          <w:rFonts w:ascii="Segoe UI" w:hAnsi="Segoe UI" w:cs="Segoe UI"/>
          <w:sz w:val="22"/>
          <w:szCs w:val="22"/>
        </w:rPr>
        <w:t>benchmarks, as defined by Virginia Administrative Code 16VAC20-21-50.</w:t>
      </w:r>
      <w:r w:rsidR="000E10F0">
        <w:rPr>
          <w:rFonts w:ascii="Segoe UI" w:hAnsi="Segoe UI" w:cs="Segoe UI"/>
          <w:sz w:val="22"/>
          <w:szCs w:val="22"/>
        </w:rPr>
        <w:br/>
      </w:r>
    </w:p>
    <w:p w14:paraId="0E423FBA" w14:textId="77777777" w:rsidR="00A75EC4" w:rsidRPr="00AC6C3A" w:rsidRDefault="00E47A92" w:rsidP="00A75EC4">
      <w:pPr>
        <w:pStyle w:val="ListParagraph"/>
        <w:numPr>
          <w:ilvl w:val="0"/>
          <w:numId w:val="9"/>
        </w:numPr>
        <w:spacing w:before="120" w:after="240" w:line="252" w:lineRule="auto"/>
        <w:rPr>
          <w:rFonts w:ascii="Segoe UI" w:hAnsi="Segoe UI" w:cs="Segoe UI"/>
          <w:sz w:val="22"/>
          <w:szCs w:val="22"/>
          <w:u w:val="single"/>
        </w:rPr>
      </w:pPr>
      <w:r w:rsidRPr="00AC6C3A">
        <w:rPr>
          <w:rFonts w:ascii="Segoe UI" w:hAnsi="Segoe UI" w:cs="Segoe UI"/>
          <w:sz w:val="22"/>
          <w:szCs w:val="22"/>
          <w:u w:val="single"/>
        </w:rPr>
        <w:t>Evaluation and Transition to Non-Probationary Status</w:t>
      </w:r>
    </w:p>
    <w:p w14:paraId="5C17C8F7" w14:textId="7D822913" w:rsidR="00A75EC4" w:rsidRDefault="00E47A92" w:rsidP="00A75EC4">
      <w:pPr>
        <w:pStyle w:val="ListParagraph"/>
        <w:numPr>
          <w:ilvl w:val="1"/>
          <w:numId w:val="9"/>
        </w:numPr>
        <w:spacing w:before="120" w:after="240" w:line="252" w:lineRule="auto"/>
        <w:ind w:left="1080"/>
        <w:rPr>
          <w:rFonts w:ascii="Segoe UI" w:hAnsi="Segoe UI" w:cs="Segoe UI"/>
          <w:sz w:val="22"/>
          <w:szCs w:val="22"/>
        </w:rPr>
      </w:pPr>
      <w:r w:rsidRPr="00AC6C3A">
        <w:rPr>
          <w:rFonts w:ascii="Segoe UI" w:hAnsi="Segoe UI" w:cs="Segoe UI"/>
          <w:sz w:val="22"/>
          <w:szCs w:val="22"/>
        </w:rPr>
        <w:t xml:space="preserve">The probationary period serves as a critical evaluation window during which the sponsor assesses the apprentice’s aptitude, reliability, and commitment to the trade. This period may not </w:t>
      </w:r>
      <w:r w:rsidR="00B27EA8" w:rsidRPr="00D71874">
        <w:rPr>
          <w:rFonts w:ascii="Segoe UI" w:hAnsi="Segoe UI" w:cs="Segoe UI"/>
          <w:sz w:val="22"/>
          <w:szCs w:val="22"/>
        </w:rPr>
        <w:t xml:space="preserve">exceed 25% </w:t>
      </w:r>
      <w:r w:rsidR="00B27EA8">
        <w:rPr>
          <w:rFonts w:ascii="Segoe UI" w:hAnsi="Segoe UI" w:cs="Segoe UI"/>
          <w:sz w:val="22"/>
          <w:szCs w:val="22"/>
        </w:rPr>
        <w:t>of the length of the program or one year</w:t>
      </w:r>
      <w:r w:rsidRPr="00AC6C3A">
        <w:rPr>
          <w:rFonts w:ascii="Segoe UI" w:hAnsi="Segoe UI" w:cs="Segoe UI"/>
          <w:sz w:val="22"/>
          <w:szCs w:val="22"/>
        </w:rPr>
        <w:t xml:space="preserve">, whichever is </w:t>
      </w:r>
      <w:r w:rsidR="000B477B">
        <w:rPr>
          <w:rFonts w:ascii="Segoe UI" w:hAnsi="Segoe UI" w:cs="Segoe UI"/>
          <w:sz w:val="22"/>
          <w:szCs w:val="22"/>
        </w:rPr>
        <w:t>shorter</w:t>
      </w:r>
      <w:r w:rsidRPr="00AC6C3A">
        <w:rPr>
          <w:rFonts w:ascii="Segoe UI" w:hAnsi="Segoe UI" w:cs="Segoe UI"/>
          <w:sz w:val="22"/>
          <w:szCs w:val="22"/>
        </w:rPr>
        <w:t>.</w:t>
      </w:r>
    </w:p>
    <w:p w14:paraId="729B9FBD" w14:textId="6B5E1476" w:rsidR="00E47A92" w:rsidRPr="00AC6C3A" w:rsidRDefault="00E47A92" w:rsidP="00AC6C3A">
      <w:pPr>
        <w:pStyle w:val="ListParagraph"/>
        <w:numPr>
          <w:ilvl w:val="1"/>
          <w:numId w:val="9"/>
        </w:numPr>
        <w:spacing w:before="120" w:after="240" w:line="252" w:lineRule="auto"/>
        <w:ind w:left="1080"/>
        <w:rPr>
          <w:rFonts w:ascii="Segoe UI" w:hAnsi="Segoe UI" w:cs="Segoe UI"/>
          <w:sz w:val="22"/>
          <w:szCs w:val="22"/>
        </w:rPr>
      </w:pPr>
      <w:r w:rsidRPr="00AC6C3A">
        <w:rPr>
          <w:rFonts w:ascii="Segoe UI" w:hAnsi="Segoe UI" w:cs="Segoe UI"/>
          <w:sz w:val="22"/>
          <w:szCs w:val="22"/>
        </w:rPr>
        <w:t>During this time, sponsors are expected to provide structured feedback and performance evaluations. These assessments should cover technical skill development, adherence to safety protocols, punctuality, and workplace conduct. If the apprentice meets the established criteria, the sponsor will formally transition the apprentice to non-probationary status. This transition</w:t>
      </w:r>
      <w:r w:rsidR="000E10F0">
        <w:rPr>
          <w:rFonts w:ascii="Segoe UI" w:hAnsi="Segoe UI" w:cs="Segoe UI"/>
          <w:sz w:val="22"/>
          <w:szCs w:val="22"/>
        </w:rPr>
        <w:t xml:space="preserve"> </w:t>
      </w:r>
      <w:r w:rsidRPr="00AC6C3A">
        <w:rPr>
          <w:rFonts w:ascii="Segoe UI" w:hAnsi="Segoe UI" w:cs="Segoe UI"/>
          <w:sz w:val="22"/>
          <w:szCs w:val="22"/>
        </w:rPr>
        <w:t>must be documented in writing and retained in the apprentice’s official training record.</w:t>
      </w:r>
      <w:r w:rsidR="000E10F0">
        <w:rPr>
          <w:rFonts w:ascii="Segoe UI" w:hAnsi="Segoe UI" w:cs="Segoe UI"/>
          <w:sz w:val="22"/>
          <w:szCs w:val="22"/>
        </w:rPr>
        <w:br/>
      </w:r>
    </w:p>
    <w:p w14:paraId="574C1171" w14:textId="4EFEE776" w:rsidR="00E47A92" w:rsidRPr="00AC6C3A" w:rsidRDefault="00E47A92" w:rsidP="00AC6C3A">
      <w:pPr>
        <w:pStyle w:val="ListParagraph"/>
        <w:numPr>
          <w:ilvl w:val="0"/>
          <w:numId w:val="9"/>
        </w:numPr>
        <w:spacing w:before="120" w:after="240" w:line="252" w:lineRule="auto"/>
        <w:rPr>
          <w:rFonts w:ascii="Segoe UI" w:hAnsi="Segoe UI" w:cs="Segoe UI"/>
          <w:sz w:val="22"/>
          <w:szCs w:val="22"/>
          <w:u w:val="single"/>
        </w:rPr>
      </w:pPr>
      <w:r w:rsidRPr="00AC6C3A">
        <w:rPr>
          <w:rFonts w:ascii="Segoe UI" w:hAnsi="Segoe UI" w:cs="Segoe UI"/>
          <w:sz w:val="22"/>
          <w:szCs w:val="22"/>
          <w:u w:val="single"/>
        </w:rPr>
        <w:t>Application of Credits by Program Type</w:t>
      </w:r>
    </w:p>
    <w:p w14:paraId="1C45F897" w14:textId="17752304" w:rsidR="00E47A92" w:rsidRPr="00E47A92" w:rsidRDefault="00E47A92" w:rsidP="00AC6C3A">
      <w:pPr>
        <w:pStyle w:val="ListParagraph"/>
        <w:numPr>
          <w:ilvl w:val="1"/>
          <w:numId w:val="9"/>
        </w:numPr>
        <w:spacing w:before="120" w:after="240" w:line="252" w:lineRule="auto"/>
        <w:ind w:left="1080"/>
        <w:rPr>
          <w:rFonts w:ascii="Segoe UI" w:hAnsi="Segoe UI" w:cs="Segoe UI"/>
          <w:sz w:val="22"/>
          <w:szCs w:val="22"/>
        </w:rPr>
      </w:pPr>
      <w:r w:rsidRPr="00E47A92">
        <w:rPr>
          <w:rFonts w:ascii="Segoe UI" w:hAnsi="Segoe UI" w:cs="Segoe UI"/>
          <w:sz w:val="22"/>
          <w:szCs w:val="22"/>
        </w:rPr>
        <w:t>Virginia recognizes three models for measuring apprenticeship progress: time-based, competency-based, and hybrid. Each model has specific implications for how probationary and</w:t>
      </w:r>
      <w:r w:rsidR="007D2453">
        <w:rPr>
          <w:rFonts w:ascii="Segoe UI" w:hAnsi="Segoe UI" w:cs="Segoe UI"/>
          <w:sz w:val="22"/>
          <w:szCs w:val="22"/>
        </w:rPr>
        <w:t xml:space="preserve"> </w:t>
      </w:r>
      <w:r w:rsidRPr="00E47A92">
        <w:rPr>
          <w:rFonts w:ascii="Segoe UI" w:hAnsi="Segoe UI" w:cs="Segoe UI"/>
          <w:sz w:val="22"/>
          <w:szCs w:val="22"/>
        </w:rPr>
        <w:t>non-probationary credits are applied:</w:t>
      </w:r>
    </w:p>
    <w:p w14:paraId="435E78D8" w14:textId="77777777" w:rsidR="00E47A92" w:rsidRPr="00E47A92" w:rsidRDefault="00E47A92" w:rsidP="00AC6C3A">
      <w:pPr>
        <w:pStyle w:val="ListParagraph"/>
        <w:numPr>
          <w:ilvl w:val="2"/>
          <w:numId w:val="10"/>
        </w:numPr>
        <w:spacing w:before="120" w:after="240" w:line="252" w:lineRule="auto"/>
        <w:ind w:left="1440"/>
        <w:rPr>
          <w:rFonts w:ascii="Segoe UI" w:hAnsi="Segoe UI" w:cs="Segoe UI"/>
          <w:sz w:val="22"/>
          <w:szCs w:val="22"/>
        </w:rPr>
      </w:pPr>
      <w:r w:rsidRPr="00AC6C3A">
        <w:rPr>
          <w:rFonts w:ascii="Segoe UI" w:hAnsi="Segoe UI" w:cs="Segoe UI"/>
          <w:i/>
          <w:iCs/>
          <w:sz w:val="22"/>
          <w:szCs w:val="22"/>
        </w:rPr>
        <w:t>Time-Based Programs</w:t>
      </w:r>
      <w:r w:rsidRPr="00E47A92">
        <w:rPr>
          <w:rFonts w:ascii="Segoe UI" w:hAnsi="Segoe UI" w:cs="Segoe UI"/>
          <w:sz w:val="22"/>
          <w:szCs w:val="22"/>
        </w:rPr>
        <w:t>: Credits are measured in hours. Probationary hours are tracked but only validated after the apprentice transitions to non-probationary status.</w:t>
      </w:r>
    </w:p>
    <w:p w14:paraId="1A4ED4F5" w14:textId="77777777" w:rsidR="00E47A92" w:rsidRPr="00E47A92" w:rsidRDefault="00E47A92" w:rsidP="00AC6C3A">
      <w:pPr>
        <w:pStyle w:val="ListParagraph"/>
        <w:numPr>
          <w:ilvl w:val="2"/>
          <w:numId w:val="10"/>
        </w:numPr>
        <w:spacing w:before="120" w:after="240" w:line="252" w:lineRule="auto"/>
        <w:ind w:left="1440"/>
        <w:rPr>
          <w:rFonts w:ascii="Segoe UI" w:hAnsi="Segoe UI" w:cs="Segoe UI"/>
          <w:sz w:val="22"/>
          <w:szCs w:val="22"/>
        </w:rPr>
      </w:pPr>
      <w:r w:rsidRPr="00AC6C3A">
        <w:rPr>
          <w:rFonts w:ascii="Segoe UI" w:hAnsi="Segoe UI" w:cs="Segoe UI"/>
          <w:i/>
          <w:iCs/>
          <w:sz w:val="22"/>
          <w:szCs w:val="22"/>
        </w:rPr>
        <w:t>Competency-Based Programs</w:t>
      </w:r>
      <w:r w:rsidRPr="00E47A92">
        <w:rPr>
          <w:rFonts w:ascii="Segoe UI" w:hAnsi="Segoe UI" w:cs="Segoe UI"/>
          <w:sz w:val="22"/>
          <w:szCs w:val="22"/>
        </w:rPr>
        <w:t>: Credits are awarded based on demonstrated mastery of skills. Probationary credits are contingent upon successful skill demonstration and sponsor verification.</w:t>
      </w:r>
    </w:p>
    <w:p w14:paraId="5D4C705A" w14:textId="39695B40" w:rsidR="00E47A92" w:rsidRPr="00E47A92" w:rsidRDefault="00E47A92" w:rsidP="00AC6C3A">
      <w:pPr>
        <w:pStyle w:val="ListParagraph"/>
        <w:numPr>
          <w:ilvl w:val="2"/>
          <w:numId w:val="10"/>
        </w:numPr>
        <w:spacing w:before="120" w:after="240" w:line="252" w:lineRule="auto"/>
        <w:ind w:left="1440"/>
        <w:rPr>
          <w:rFonts w:ascii="Segoe UI" w:hAnsi="Segoe UI" w:cs="Segoe UI"/>
          <w:sz w:val="22"/>
          <w:szCs w:val="22"/>
        </w:rPr>
      </w:pPr>
      <w:r w:rsidRPr="00AC6C3A">
        <w:rPr>
          <w:rFonts w:ascii="Segoe UI" w:hAnsi="Segoe UI" w:cs="Segoe UI"/>
          <w:i/>
          <w:iCs/>
          <w:sz w:val="22"/>
          <w:szCs w:val="22"/>
        </w:rPr>
        <w:t>Hybrid Programs</w:t>
      </w:r>
      <w:r w:rsidRPr="00E47A92">
        <w:rPr>
          <w:rFonts w:ascii="Segoe UI" w:hAnsi="Segoe UI" w:cs="Segoe UI"/>
          <w:sz w:val="22"/>
          <w:szCs w:val="22"/>
        </w:rPr>
        <w:t>: A combination of hours and competencies is used. Probationary credits</w:t>
      </w:r>
      <w:r w:rsidR="000E10F0">
        <w:rPr>
          <w:rFonts w:ascii="Segoe UI" w:hAnsi="Segoe UI" w:cs="Segoe UI"/>
          <w:sz w:val="22"/>
          <w:szCs w:val="22"/>
        </w:rPr>
        <w:t xml:space="preserve"> </w:t>
      </w:r>
      <w:r w:rsidRPr="00E47A92">
        <w:rPr>
          <w:rFonts w:ascii="Segoe UI" w:hAnsi="Segoe UI" w:cs="Segoe UI"/>
          <w:sz w:val="22"/>
          <w:szCs w:val="22"/>
        </w:rPr>
        <w:t>must meet both time and skill benchmarks before being validated.</w:t>
      </w:r>
    </w:p>
    <w:p w14:paraId="587F131F" w14:textId="6DDA5206" w:rsidR="00E47A92" w:rsidRPr="00E47A92" w:rsidRDefault="00E47A92" w:rsidP="00AC6C3A">
      <w:pPr>
        <w:pStyle w:val="ListParagraph"/>
        <w:numPr>
          <w:ilvl w:val="1"/>
          <w:numId w:val="9"/>
        </w:numPr>
        <w:spacing w:before="120" w:after="240" w:line="252" w:lineRule="auto"/>
        <w:ind w:left="1080"/>
        <w:rPr>
          <w:rFonts w:ascii="Segoe UI" w:hAnsi="Segoe UI" w:cs="Segoe UI"/>
          <w:sz w:val="22"/>
          <w:szCs w:val="22"/>
        </w:rPr>
      </w:pPr>
      <w:r w:rsidRPr="00E47A92">
        <w:rPr>
          <w:rFonts w:ascii="Segoe UI" w:hAnsi="Segoe UI" w:cs="Segoe UI"/>
          <w:sz w:val="22"/>
          <w:szCs w:val="22"/>
        </w:rPr>
        <w:t>Sponsors must clearly define their chosen model in the program standards and ensure that</w:t>
      </w:r>
      <w:r w:rsidR="000E10F0">
        <w:rPr>
          <w:rFonts w:ascii="Segoe UI" w:hAnsi="Segoe UI" w:cs="Segoe UI"/>
          <w:sz w:val="22"/>
          <w:szCs w:val="22"/>
        </w:rPr>
        <w:t xml:space="preserve"> </w:t>
      </w:r>
      <w:r w:rsidRPr="00E47A92">
        <w:rPr>
          <w:rFonts w:ascii="Segoe UI" w:hAnsi="Segoe UI" w:cs="Segoe UI"/>
          <w:sz w:val="22"/>
          <w:szCs w:val="22"/>
        </w:rPr>
        <w:t>credit application aligns with the apprenticeable occupation’s requirements.</w:t>
      </w:r>
      <w:r w:rsidR="000B477B">
        <w:rPr>
          <w:rFonts w:ascii="Segoe UI" w:hAnsi="Segoe UI" w:cs="Segoe UI"/>
          <w:sz w:val="22"/>
          <w:szCs w:val="22"/>
        </w:rPr>
        <w:br/>
      </w:r>
    </w:p>
    <w:p w14:paraId="1E0D71B8" w14:textId="17124442" w:rsidR="00E47A92" w:rsidRPr="00AC6C3A" w:rsidRDefault="00E47A92" w:rsidP="00AC6C3A">
      <w:pPr>
        <w:pStyle w:val="ListParagraph"/>
        <w:numPr>
          <w:ilvl w:val="0"/>
          <w:numId w:val="9"/>
        </w:numPr>
        <w:spacing w:before="120" w:after="240" w:line="252" w:lineRule="auto"/>
        <w:rPr>
          <w:rFonts w:ascii="Segoe UI" w:hAnsi="Segoe UI" w:cs="Segoe UI"/>
          <w:sz w:val="22"/>
          <w:szCs w:val="22"/>
          <w:u w:val="single"/>
        </w:rPr>
      </w:pPr>
      <w:r w:rsidRPr="00AC6C3A">
        <w:rPr>
          <w:rFonts w:ascii="Segoe UI" w:hAnsi="Segoe UI" w:cs="Segoe UI"/>
          <w:sz w:val="22"/>
          <w:szCs w:val="22"/>
          <w:u w:val="single"/>
        </w:rPr>
        <w:t>Transferability of Credits</w:t>
      </w:r>
    </w:p>
    <w:p w14:paraId="04D05113" w14:textId="16596C11" w:rsidR="00E47A92" w:rsidRPr="00E47A92" w:rsidRDefault="00E47A92" w:rsidP="00AC6C3A">
      <w:pPr>
        <w:pStyle w:val="ListParagraph"/>
        <w:numPr>
          <w:ilvl w:val="1"/>
          <w:numId w:val="9"/>
        </w:numPr>
        <w:spacing w:before="120" w:after="240" w:line="252" w:lineRule="auto"/>
        <w:ind w:left="1080"/>
        <w:rPr>
          <w:rFonts w:ascii="Segoe UI" w:hAnsi="Segoe UI" w:cs="Segoe UI"/>
          <w:sz w:val="22"/>
          <w:szCs w:val="22"/>
        </w:rPr>
      </w:pPr>
      <w:r w:rsidRPr="00E47A92">
        <w:rPr>
          <w:rFonts w:ascii="Segoe UI" w:hAnsi="Segoe UI" w:cs="Segoe UI"/>
          <w:sz w:val="22"/>
          <w:szCs w:val="22"/>
        </w:rPr>
        <w:lastRenderedPageBreak/>
        <w:t xml:space="preserve">Credits earned during the probationary period may be transferred between Virginia-registered programs only if </w:t>
      </w:r>
      <w:r w:rsidR="007C2DF5">
        <w:rPr>
          <w:rFonts w:ascii="Segoe UI" w:hAnsi="Segoe UI" w:cs="Segoe UI"/>
          <w:sz w:val="22"/>
          <w:szCs w:val="22"/>
        </w:rPr>
        <w:t xml:space="preserve">(1) </w:t>
      </w:r>
      <w:r w:rsidRPr="00E47A92">
        <w:rPr>
          <w:rFonts w:ascii="Segoe UI" w:hAnsi="Segoe UI" w:cs="Segoe UI"/>
          <w:sz w:val="22"/>
          <w:szCs w:val="22"/>
        </w:rPr>
        <w:t xml:space="preserve">the receiving sponsor agrees and </w:t>
      </w:r>
      <w:r w:rsidR="007C2DF5">
        <w:rPr>
          <w:rFonts w:ascii="Segoe UI" w:hAnsi="Segoe UI" w:cs="Segoe UI"/>
          <w:sz w:val="22"/>
          <w:szCs w:val="22"/>
        </w:rPr>
        <w:t xml:space="preserve">(2) </w:t>
      </w:r>
      <w:r w:rsidRPr="00E47A92">
        <w:rPr>
          <w:rFonts w:ascii="Segoe UI" w:hAnsi="Segoe UI" w:cs="Segoe UI"/>
          <w:sz w:val="22"/>
          <w:szCs w:val="22"/>
        </w:rPr>
        <w:t>the apprentice has met minimum performance standards. This ensures that the integrity of the training is maintained and that apprentices are not disadvantaged by program transitions.</w:t>
      </w:r>
    </w:p>
    <w:p w14:paraId="46C30657" w14:textId="40A7A569" w:rsidR="00E47A92" w:rsidRPr="00E47A92" w:rsidRDefault="00E47A92" w:rsidP="00AC6C3A">
      <w:pPr>
        <w:pStyle w:val="ListParagraph"/>
        <w:numPr>
          <w:ilvl w:val="1"/>
          <w:numId w:val="9"/>
        </w:numPr>
        <w:spacing w:before="120" w:after="240" w:line="252" w:lineRule="auto"/>
        <w:ind w:left="1080"/>
        <w:rPr>
          <w:rFonts w:ascii="Segoe UI" w:hAnsi="Segoe UI" w:cs="Segoe UI"/>
          <w:sz w:val="22"/>
          <w:szCs w:val="22"/>
        </w:rPr>
      </w:pPr>
      <w:r w:rsidRPr="00E47A92">
        <w:rPr>
          <w:rFonts w:ascii="Segoe UI" w:hAnsi="Segoe UI" w:cs="Segoe UI"/>
          <w:sz w:val="22"/>
          <w:szCs w:val="22"/>
        </w:rPr>
        <w:t>Non-probationary credits are more broadly transferable, provided that the receiving program verifies the training records and confirms alignment with its own work process schedule. Sponsors are encouraged to collaborate to facilitate smooth transitions for apprentices seeking</w:t>
      </w:r>
      <w:r w:rsidR="007C2DF5">
        <w:rPr>
          <w:rFonts w:ascii="Segoe UI" w:hAnsi="Segoe UI" w:cs="Segoe UI"/>
          <w:sz w:val="22"/>
          <w:szCs w:val="22"/>
        </w:rPr>
        <w:t xml:space="preserve"> </w:t>
      </w:r>
      <w:r w:rsidRPr="00E47A92">
        <w:rPr>
          <w:rFonts w:ascii="Segoe UI" w:hAnsi="Segoe UI" w:cs="Segoe UI"/>
          <w:sz w:val="22"/>
          <w:szCs w:val="22"/>
        </w:rPr>
        <w:t>to continue their training in a new environment.</w:t>
      </w:r>
      <w:r w:rsidR="007C2DF5">
        <w:rPr>
          <w:rFonts w:ascii="Segoe UI" w:hAnsi="Segoe UI" w:cs="Segoe UI"/>
          <w:sz w:val="22"/>
          <w:szCs w:val="22"/>
        </w:rPr>
        <w:br/>
      </w:r>
    </w:p>
    <w:p w14:paraId="42D71989" w14:textId="7D73EB1D" w:rsidR="00E47A92" w:rsidRPr="00AC6C3A" w:rsidRDefault="00E47A92" w:rsidP="00AC6C3A">
      <w:pPr>
        <w:pStyle w:val="ListParagraph"/>
        <w:numPr>
          <w:ilvl w:val="0"/>
          <w:numId w:val="9"/>
        </w:numPr>
        <w:spacing w:before="120" w:after="240" w:line="252" w:lineRule="auto"/>
        <w:rPr>
          <w:rFonts w:ascii="Segoe UI" w:hAnsi="Segoe UI" w:cs="Segoe UI"/>
          <w:sz w:val="22"/>
          <w:szCs w:val="22"/>
          <w:u w:val="single"/>
        </w:rPr>
      </w:pPr>
      <w:r w:rsidRPr="00AC6C3A">
        <w:rPr>
          <w:rFonts w:ascii="Segoe UI" w:hAnsi="Segoe UI" w:cs="Segoe UI"/>
          <w:sz w:val="22"/>
          <w:szCs w:val="22"/>
          <w:u w:val="single"/>
        </w:rPr>
        <w:t>Recordkeeping and Documentation</w:t>
      </w:r>
    </w:p>
    <w:p w14:paraId="50FB861E" w14:textId="3E7ABA4A" w:rsidR="00E47A92" w:rsidRPr="00E47A92" w:rsidRDefault="00E47A92" w:rsidP="00AC6C3A">
      <w:pPr>
        <w:pStyle w:val="ListParagraph"/>
        <w:numPr>
          <w:ilvl w:val="1"/>
          <w:numId w:val="9"/>
        </w:numPr>
        <w:spacing w:before="120" w:after="240" w:line="252" w:lineRule="auto"/>
        <w:ind w:left="1080"/>
        <w:rPr>
          <w:rFonts w:ascii="Segoe UI" w:hAnsi="Segoe UI" w:cs="Segoe UI"/>
          <w:sz w:val="22"/>
          <w:szCs w:val="22"/>
        </w:rPr>
      </w:pPr>
      <w:r w:rsidRPr="00E47A92">
        <w:rPr>
          <w:rFonts w:ascii="Segoe UI" w:hAnsi="Segoe UI" w:cs="Segoe UI"/>
          <w:sz w:val="22"/>
          <w:szCs w:val="22"/>
        </w:rPr>
        <w:t xml:space="preserve">Accurate and comprehensive recordkeeping is essential to the integrity of the apprenticeship system. Sponsors must maintain detailed records of all credits earned, including the dates, hours, competencies achieved, and related instruction completed. These records must be readily accessible for review by Virginia </w:t>
      </w:r>
      <w:r w:rsidR="00495F3F">
        <w:rPr>
          <w:rFonts w:ascii="Segoe UI" w:hAnsi="Segoe UI" w:cs="Segoe UI"/>
          <w:sz w:val="22"/>
          <w:szCs w:val="22"/>
        </w:rPr>
        <w:t>Works</w:t>
      </w:r>
      <w:r w:rsidRPr="00E47A92">
        <w:rPr>
          <w:rFonts w:ascii="Segoe UI" w:hAnsi="Segoe UI" w:cs="Segoe UI"/>
          <w:sz w:val="22"/>
          <w:szCs w:val="22"/>
        </w:rPr>
        <w:t xml:space="preserve"> and retained in accordance with state guidelines.</w:t>
      </w:r>
    </w:p>
    <w:p w14:paraId="5C551592" w14:textId="5E121D27" w:rsidR="00E47A92" w:rsidRPr="00E47A92" w:rsidRDefault="00E47A92" w:rsidP="00AC6C3A">
      <w:pPr>
        <w:pStyle w:val="ListParagraph"/>
        <w:numPr>
          <w:ilvl w:val="1"/>
          <w:numId w:val="9"/>
        </w:numPr>
        <w:spacing w:before="120" w:after="240" w:line="252" w:lineRule="auto"/>
        <w:ind w:left="1080"/>
        <w:rPr>
          <w:rFonts w:ascii="Segoe UI" w:hAnsi="Segoe UI" w:cs="Segoe UI"/>
          <w:sz w:val="22"/>
          <w:szCs w:val="22"/>
        </w:rPr>
      </w:pPr>
      <w:r w:rsidRPr="00E47A92">
        <w:rPr>
          <w:rFonts w:ascii="Segoe UI" w:hAnsi="Segoe UI" w:cs="Segoe UI"/>
          <w:sz w:val="22"/>
          <w:szCs w:val="22"/>
        </w:rPr>
        <w:t>Documentation should also include evaluations conducted during the probationary period, the formal transition to non-probationary status, and any correspondence related to credit transfer or disputes.</w:t>
      </w:r>
      <w:r w:rsidR="007C2DF5">
        <w:rPr>
          <w:rFonts w:ascii="Segoe UI" w:hAnsi="Segoe UI" w:cs="Segoe UI"/>
          <w:sz w:val="22"/>
          <w:szCs w:val="22"/>
        </w:rPr>
        <w:br/>
      </w:r>
    </w:p>
    <w:p w14:paraId="472978BA" w14:textId="69952EB3" w:rsidR="00E47A92" w:rsidRPr="00AC6C3A" w:rsidRDefault="00E47A92" w:rsidP="00AC6C3A">
      <w:pPr>
        <w:pStyle w:val="ListParagraph"/>
        <w:numPr>
          <w:ilvl w:val="0"/>
          <w:numId w:val="9"/>
        </w:numPr>
        <w:spacing w:before="120" w:after="240" w:line="252" w:lineRule="auto"/>
        <w:rPr>
          <w:rFonts w:ascii="Segoe UI" w:hAnsi="Segoe UI" w:cs="Segoe UI"/>
          <w:sz w:val="22"/>
          <w:szCs w:val="22"/>
          <w:u w:val="single"/>
        </w:rPr>
      </w:pPr>
      <w:r w:rsidRPr="00AC6C3A">
        <w:rPr>
          <w:rFonts w:ascii="Segoe UI" w:hAnsi="Segoe UI" w:cs="Segoe UI"/>
          <w:sz w:val="22"/>
          <w:szCs w:val="22"/>
          <w:u w:val="single"/>
        </w:rPr>
        <w:t>Appeals and Dispute Resolution</w:t>
      </w:r>
    </w:p>
    <w:p w14:paraId="1D09469F" w14:textId="77777777" w:rsidR="00E47A92" w:rsidRPr="00E47A92" w:rsidRDefault="00E47A92" w:rsidP="00AC6C3A">
      <w:pPr>
        <w:pStyle w:val="ListParagraph"/>
        <w:numPr>
          <w:ilvl w:val="1"/>
          <w:numId w:val="9"/>
        </w:numPr>
        <w:spacing w:before="120" w:after="240" w:line="252" w:lineRule="auto"/>
        <w:ind w:left="1080"/>
        <w:rPr>
          <w:rFonts w:ascii="Segoe UI" w:hAnsi="Segoe UI" w:cs="Segoe UI"/>
          <w:sz w:val="22"/>
          <w:szCs w:val="22"/>
        </w:rPr>
      </w:pPr>
      <w:r w:rsidRPr="00E47A92">
        <w:rPr>
          <w:rFonts w:ascii="Segoe UI" w:hAnsi="Segoe UI" w:cs="Segoe UI"/>
          <w:sz w:val="22"/>
          <w:szCs w:val="22"/>
        </w:rPr>
        <w:t>Apprentices who believe their credits have been misclassified or unfairly denied may appeal through the sponsor’s established grievance procedure. Sponsors must ensure that apprentices are informed of their rights and the steps required to initiate an appeal.</w:t>
      </w:r>
    </w:p>
    <w:p w14:paraId="07E70D71" w14:textId="6F9B6D46" w:rsidR="00E47A92" w:rsidRDefault="00E47A92" w:rsidP="00446C81">
      <w:pPr>
        <w:pStyle w:val="ListParagraph"/>
        <w:numPr>
          <w:ilvl w:val="1"/>
          <w:numId w:val="9"/>
        </w:numPr>
        <w:spacing w:before="120" w:after="240" w:line="252" w:lineRule="auto"/>
        <w:ind w:left="1080"/>
        <w:rPr>
          <w:rFonts w:ascii="Segoe UI" w:hAnsi="Segoe UI" w:cs="Segoe UI"/>
          <w:sz w:val="22"/>
          <w:szCs w:val="22"/>
        </w:rPr>
      </w:pPr>
      <w:r w:rsidRPr="00E47A92">
        <w:rPr>
          <w:rFonts w:ascii="Segoe UI" w:hAnsi="Segoe UI" w:cs="Segoe UI"/>
          <w:sz w:val="22"/>
          <w:szCs w:val="22"/>
        </w:rPr>
        <w:t xml:space="preserve">Final determinations regarding credit recognition rest with the sponsor but are subject to oversight by </w:t>
      </w:r>
      <w:r w:rsidR="00495F3F">
        <w:rPr>
          <w:rFonts w:ascii="Segoe UI" w:hAnsi="Segoe UI" w:cs="Segoe UI"/>
          <w:sz w:val="22"/>
          <w:szCs w:val="22"/>
        </w:rPr>
        <w:t>Virginia Works</w:t>
      </w:r>
      <w:r w:rsidRPr="00E47A92">
        <w:rPr>
          <w:rFonts w:ascii="Segoe UI" w:hAnsi="Segoe UI" w:cs="Segoe UI"/>
          <w:sz w:val="22"/>
          <w:szCs w:val="22"/>
        </w:rPr>
        <w:t>. Sponsors are expected to act in good faith and in accordance with state regulations when resolving disputes.</w:t>
      </w:r>
      <w:r w:rsidR="00AC3978">
        <w:rPr>
          <w:rFonts w:ascii="Segoe UI" w:hAnsi="Segoe UI" w:cs="Segoe UI"/>
          <w:sz w:val="22"/>
          <w:szCs w:val="22"/>
        </w:rPr>
        <w:br/>
      </w:r>
    </w:p>
    <w:p w14:paraId="0A7A371B" w14:textId="77777777" w:rsidR="00AC3978" w:rsidRPr="0077682D" w:rsidRDefault="00AC3978" w:rsidP="00AC3978">
      <w:pPr>
        <w:pStyle w:val="ListParagraph"/>
        <w:numPr>
          <w:ilvl w:val="0"/>
          <w:numId w:val="9"/>
        </w:numPr>
        <w:spacing w:before="120" w:after="240" w:line="252" w:lineRule="auto"/>
        <w:rPr>
          <w:rFonts w:ascii="Segoe UI" w:hAnsi="Segoe UI" w:cs="Segoe UI"/>
          <w:sz w:val="22"/>
          <w:szCs w:val="22"/>
        </w:rPr>
      </w:pPr>
      <w:r w:rsidRPr="0077682D">
        <w:rPr>
          <w:rFonts w:ascii="Segoe UI" w:hAnsi="Segoe UI" w:cs="Segoe UI"/>
          <w:sz w:val="22"/>
          <w:szCs w:val="22"/>
          <w:u w:val="single"/>
        </w:rPr>
        <w:t>Equal Employment Opportunity</w:t>
      </w:r>
    </w:p>
    <w:p w14:paraId="0DA0AC20" w14:textId="77777777" w:rsidR="00AC3978" w:rsidRPr="0077682D" w:rsidRDefault="00AC3978" w:rsidP="00AC6C3A">
      <w:pPr>
        <w:pStyle w:val="ListParagraph"/>
        <w:numPr>
          <w:ilvl w:val="1"/>
          <w:numId w:val="9"/>
        </w:numPr>
        <w:spacing w:before="120" w:after="240" w:line="252" w:lineRule="auto"/>
        <w:ind w:left="1080"/>
        <w:rPr>
          <w:rFonts w:ascii="Segoe UI" w:hAnsi="Segoe UI" w:cs="Segoe UI"/>
          <w:sz w:val="22"/>
          <w:szCs w:val="22"/>
        </w:rPr>
      </w:pPr>
      <w:r w:rsidRPr="0077682D">
        <w:rPr>
          <w:rFonts w:ascii="Segoe UI" w:hAnsi="Segoe UI" w:cs="Segoe UI"/>
          <w:sz w:val="22"/>
          <w:szCs w:val="22"/>
        </w:rPr>
        <w:t>When awarding credit for prior experience, sponsors must:</w:t>
      </w:r>
    </w:p>
    <w:p w14:paraId="67F80CA2" w14:textId="77777777" w:rsidR="00AC3978" w:rsidRPr="0077682D" w:rsidRDefault="00AC3978" w:rsidP="00AC6C3A">
      <w:pPr>
        <w:pStyle w:val="ListParagraph"/>
        <w:numPr>
          <w:ilvl w:val="2"/>
          <w:numId w:val="9"/>
        </w:numPr>
        <w:spacing w:before="120" w:after="240" w:line="252" w:lineRule="auto"/>
        <w:ind w:left="1620"/>
        <w:rPr>
          <w:rFonts w:ascii="Segoe UI" w:hAnsi="Segoe UI" w:cs="Segoe UI"/>
          <w:sz w:val="22"/>
          <w:szCs w:val="22"/>
        </w:rPr>
      </w:pPr>
      <w:r w:rsidRPr="0077682D">
        <w:rPr>
          <w:rFonts w:ascii="Segoe UI" w:hAnsi="Segoe UI" w:cs="Segoe UI"/>
          <w:sz w:val="22"/>
          <w:szCs w:val="22"/>
        </w:rPr>
        <w:t>Use objective, job-related criteria to evaluate prior experience.</w:t>
      </w:r>
    </w:p>
    <w:p w14:paraId="320987DB" w14:textId="77777777" w:rsidR="00AC3978" w:rsidRPr="0077682D" w:rsidRDefault="00AC3978" w:rsidP="00AC6C3A">
      <w:pPr>
        <w:pStyle w:val="ListParagraph"/>
        <w:numPr>
          <w:ilvl w:val="2"/>
          <w:numId w:val="9"/>
        </w:numPr>
        <w:spacing w:before="120" w:after="240" w:line="252" w:lineRule="auto"/>
        <w:ind w:left="1620"/>
        <w:rPr>
          <w:rFonts w:ascii="Segoe UI" w:hAnsi="Segoe UI" w:cs="Segoe UI"/>
          <w:sz w:val="22"/>
          <w:szCs w:val="22"/>
        </w:rPr>
      </w:pPr>
      <w:r w:rsidRPr="0077682D">
        <w:rPr>
          <w:rFonts w:ascii="Segoe UI" w:hAnsi="Segoe UI" w:cs="Segoe UI"/>
          <w:sz w:val="22"/>
          <w:szCs w:val="22"/>
        </w:rPr>
        <w:t>Ensure that evaluation procedures are uniformly applied to all applicants.</w:t>
      </w:r>
    </w:p>
    <w:p w14:paraId="32ADB0B4" w14:textId="77777777" w:rsidR="00AC3978" w:rsidRPr="0077682D" w:rsidRDefault="00AC3978" w:rsidP="00AC6C3A">
      <w:pPr>
        <w:pStyle w:val="ListParagraph"/>
        <w:numPr>
          <w:ilvl w:val="2"/>
          <w:numId w:val="9"/>
        </w:numPr>
        <w:spacing w:before="120" w:after="240" w:line="252" w:lineRule="auto"/>
        <w:ind w:left="1620"/>
        <w:rPr>
          <w:rFonts w:ascii="Segoe UI" w:hAnsi="Segoe UI" w:cs="Segoe UI"/>
          <w:sz w:val="22"/>
          <w:szCs w:val="22"/>
        </w:rPr>
      </w:pPr>
      <w:r w:rsidRPr="0077682D">
        <w:rPr>
          <w:rFonts w:ascii="Segoe UI" w:hAnsi="Segoe UI" w:cs="Segoe UI"/>
          <w:sz w:val="22"/>
          <w:szCs w:val="22"/>
        </w:rPr>
        <w:t>Avoid any practices that may disproportionately exclude individuals from protected classes.</w:t>
      </w:r>
    </w:p>
    <w:p w14:paraId="33346B38" w14:textId="36BEB6DF" w:rsidR="00AC3978" w:rsidRPr="00AC6C3A" w:rsidRDefault="00AC3978" w:rsidP="00AC6C3A">
      <w:pPr>
        <w:pStyle w:val="ListParagraph"/>
        <w:numPr>
          <w:ilvl w:val="1"/>
          <w:numId w:val="9"/>
        </w:numPr>
        <w:spacing w:before="120" w:after="240" w:line="252" w:lineRule="auto"/>
        <w:ind w:left="1080"/>
        <w:rPr>
          <w:rFonts w:ascii="Segoe UI" w:hAnsi="Segoe UI" w:cs="Segoe UI"/>
          <w:sz w:val="22"/>
          <w:szCs w:val="22"/>
        </w:rPr>
      </w:pPr>
      <w:r w:rsidRPr="379C2C61">
        <w:rPr>
          <w:rFonts w:ascii="Segoe UI" w:hAnsi="Segoe UI" w:cs="Segoe UI"/>
          <w:sz w:val="22"/>
          <w:szCs w:val="22"/>
        </w:rPr>
        <w:t xml:space="preserve">Sponsors must also maintain documentation of credit decisions and be prepared to demonstrate that their practices align with EEOC standards and the affirmative action obligations outlined in </w:t>
      </w:r>
      <w:hyperlink r:id="rId11">
        <w:r w:rsidRPr="379C2C61">
          <w:rPr>
            <w:rStyle w:val="Hyperlink"/>
            <w:rFonts w:ascii="Segoe UI" w:hAnsi="Segoe UI" w:cs="Segoe UI"/>
            <w:sz w:val="22"/>
            <w:szCs w:val="22"/>
          </w:rPr>
          <w:t>29 CFR Part 30</w:t>
        </w:r>
      </w:hyperlink>
      <w:r w:rsidRPr="379C2C61">
        <w:rPr>
          <w:rFonts w:ascii="Segoe UI" w:hAnsi="Segoe UI" w:cs="Segoe UI"/>
          <w:sz w:val="22"/>
          <w:szCs w:val="22"/>
        </w:rPr>
        <w:t xml:space="preserve"> and Virginia Administrative Code </w:t>
      </w:r>
      <w:hyperlink r:id="rId12">
        <w:r w:rsidRPr="379C2C61">
          <w:rPr>
            <w:rStyle w:val="Hyperlink"/>
            <w:rFonts w:ascii="Segoe UI" w:hAnsi="Segoe UI" w:cs="Segoe UI"/>
            <w:sz w:val="22"/>
            <w:szCs w:val="22"/>
          </w:rPr>
          <w:t>16VAC20-21-50</w:t>
        </w:r>
      </w:hyperlink>
      <w:r w:rsidRPr="379C2C61">
        <w:rPr>
          <w:rFonts w:ascii="Segoe UI" w:hAnsi="Segoe UI" w:cs="Segoe UI"/>
          <w:sz w:val="22"/>
          <w:szCs w:val="22"/>
        </w:rPr>
        <w:t xml:space="preserve">. Noncompliance related to the equal employment opportunity of apprentices and/or graduates of such an apprenticeship program is grounds for deregistration or other enforcement action in accordance with </w:t>
      </w:r>
      <w:hyperlink r:id="rId13">
        <w:r w:rsidRPr="379C2C61">
          <w:rPr>
            <w:rStyle w:val="Hyperlink"/>
            <w:rFonts w:ascii="Segoe UI" w:hAnsi="Segoe UI" w:cs="Segoe UI"/>
            <w:sz w:val="22"/>
            <w:szCs w:val="22"/>
          </w:rPr>
          <w:t>§ 30.15</w:t>
        </w:r>
      </w:hyperlink>
      <w:r w:rsidRPr="379C2C61">
        <w:rPr>
          <w:rFonts w:ascii="Segoe UI" w:hAnsi="Segoe UI" w:cs="Segoe UI"/>
          <w:sz w:val="22"/>
          <w:szCs w:val="22"/>
        </w:rPr>
        <w:t>.</w:t>
      </w:r>
    </w:p>
    <w:p w14:paraId="4DE3F3D6" w14:textId="240C14DB" w:rsidR="00FC6306" w:rsidRPr="000901EC" w:rsidRDefault="00103D93" w:rsidP="2CF02D86">
      <w:pPr>
        <w:rPr>
          <w:rFonts w:ascii="Segoe UI" w:hAnsi="Segoe UI" w:cs="Segoe UI"/>
          <w:b/>
          <w:bCs/>
          <w:sz w:val="22"/>
          <w:szCs w:val="22"/>
        </w:rPr>
      </w:pPr>
      <w:r>
        <w:rPr>
          <w:rFonts w:ascii="Segoe UI" w:hAnsi="Segoe UI" w:cs="Segoe UI"/>
          <w:b/>
          <w:bCs/>
          <w:sz w:val="22"/>
          <w:szCs w:val="22"/>
        </w:rPr>
        <w:t>AGENCY RESPONSIBILITIES</w:t>
      </w:r>
      <w:r w:rsidRPr="000901EC">
        <w:rPr>
          <w:rFonts w:ascii="Segoe UI" w:hAnsi="Segoe UI" w:cs="Segoe UI"/>
          <w:b/>
          <w:bCs/>
          <w:sz w:val="22"/>
          <w:szCs w:val="22"/>
        </w:rPr>
        <w:t xml:space="preserve"> </w:t>
      </w:r>
    </w:p>
    <w:p w14:paraId="1F0C1F67" w14:textId="77777777" w:rsidR="00F15873" w:rsidRDefault="00F15873" w:rsidP="00F15873">
      <w:r w:rsidRPr="0077682D">
        <w:rPr>
          <w:rFonts w:ascii="Segoe UI" w:hAnsi="Segoe UI" w:cs="Segoe UI"/>
          <w:sz w:val="22"/>
          <w:szCs w:val="22"/>
        </w:rPr>
        <w:lastRenderedPageBreak/>
        <w:t xml:space="preserve">To comply with the Fair Labor </w:t>
      </w:r>
      <w:proofErr w:type="gramStart"/>
      <w:r w:rsidRPr="0077682D">
        <w:rPr>
          <w:rFonts w:ascii="Segoe UI" w:hAnsi="Segoe UI" w:cs="Segoe UI"/>
          <w:sz w:val="22"/>
          <w:szCs w:val="22"/>
        </w:rPr>
        <w:t>Standards</w:t>
      </w:r>
      <w:proofErr w:type="gramEnd"/>
      <w:r w:rsidRPr="0077682D">
        <w:rPr>
          <w:rFonts w:ascii="Segoe UI" w:hAnsi="Segoe UI" w:cs="Segoe UI"/>
          <w:sz w:val="22"/>
          <w:szCs w:val="22"/>
        </w:rPr>
        <w:t xml:space="preserve"> Act (FLSA), Virginia Works will ensure that all procedures and systems related to wage and </w:t>
      </w:r>
      <w:proofErr w:type="gramStart"/>
      <w:r w:rsidRPr="0077682D">
        <w:rPr>
          <w:rFonts w:ascii="Segoe UI" w:hAnsi="Segoe UI" w:cs="Segoe UI"/>
          <w:sz w:val="22"/>
          <w:szCs w:val="22"/>
        </w:rPr>
        <w:t>hour</w:t>
      </w:r>
      <w:proofErr w:type="gramEnd"/>
      <w:r w:rsidRPr="0077682D">
        <w:rPr>
          <w:rFonts w:ascii="Segoe UI" w:hAnsi="Segoe UI" w:cs="Segoe UI"/>
          <w:sz w:val="22"/>
          <w:szCs w:val="22"/>
        </w:rPr>
        <w:t xml:space="preserve"> compliance are clearly defined, documented, and communicated to relevant staff. This includes employees responsible for managing apprenticeship programs, field team members, and administrative personnel who oversee labor standards. These measures will support </w:t>
      </w:r>
      <w:proofErr w:type="gramStart"/>
      <w:r w:rsidRPr="0077682D">
        <w:rPr>
          <w:rFonts w:ascii="Segoe UI" w:hAnsi="Segoe UI" w:cs="Segoe UI"/>
          <w:sz w:val="22"/>
          <w:szCs w:val="22"/>
        </w:rPr>
        <w:t>the accurate</w:t>
      </w:r>
      <w:proofErr w:type="gramEnd"/>
      <w:r w:rsidRPr="0077682D">
        <w:rPr>
          <w:rFonts w:ascii="Segoe UI" w:hAnsi="Segoe UI" w:cs="Segoe UI"/>
          <w:sz w:val="22"/>
          <w:szCs w:val="22"/>
        </w:rPr>
        <w:t xml:space="preserve"> dissemination of information and promote consistent adherence to FLSA requirements.</w:t>
      </w:r>
    </w:p>
    <w:p w14:paraId="2F1D718C" w14:textId="77777777" w:rsidR="00F15873" w:rsidRPr="0077682D" w:rsidRDefault="00F15873" w:rsidP="00F15873">
      <w:pPr>
        <w:rPr>
          <w:rFonts w:ascii="Segoe UI" w:hAnsi="Segoe UI" w:cs="Segoe UI"/>
          <w:sz w:val="22"/>
          <w:szCs w:val="22"/>
        </w:rPr>
      </w:pPr>
      <w:r w:rsidRPr="0077682D">
        <w:rPr>
          <w:rFonts w:ascii="Segoe UI" w:hAnsi="Segoe UI" w:cs="Segoe UI"/>
          <w:sz w:val="22"/>
          <w:szCs w:val="22"/>
        </w:rPr>
        <w:t>Virginia Works will bring all new and prospective changes to Registered Apprenticeship policy to the Virginia Apprenticeship Council for consideration.</w:t>
      </w:r>
    </w:p>
    <w:p w14:paraId="5530EC9B" w14:textId="7D247D03" w:rsidR="000F0E23" w:rsidRPr="0077682D" w:rsidRDefault="000F0E23" w:rsidP="00AC6C3A">
      <w:pPr>
        <w:rPr>
          <w:rFonts w:ascii="Segoe UI" w:hAnsi="Segoe UI" w:cs="Segoe UI"/>
          <w:sz w:val="22"/>
          <w:szCs w:val="22"/>
        </w:rPr>
      </w:pPr>
      <w:r>
        <w:rPr>
          <w:rFonts w:ascii="Segoe UI" w:hAnsi="Segoe UI" w:cs="Segoe UI"/>
          <w:sz w:val="22"/>
          <w:szCs w:val="22"/>
        </w:rPr>
        <w:t>This policy shall be reviewed biannually and updated to remain compliant with</w:t>
      </w:r>
      <w:r w:rsidR="000657AE">
        <w:rPr>
          <w:rFonts w:ascii="Segoe UI" w:hAnsi="Segoe UI" w:cs="Segoe UI"/>
          <w:sz w:val="22"/>
          <w:szCs w:val="22"/>
        </w:rPr>
        <w:t xml:space="preserve"> </w:t>
      </w:r>
      <w:r w:rsidR="000657AE" w:rsidRPr="000657AE">
        <w:rPr>
          <w:rFonts w:ascii="Segoe UI" w:hAnsi="Segoe UI" w:cs="Segoe UI"/>
          <w:sz w:val="22"/>
          <w:szCs w:val="22"/>
        </w:rPr>
        <w:t>Virginia Administrative Code 16VAC20-21-50</w:t>
      </w:r>
      <w:r w:rsidR="000657AE">
        <w:rPr>
          <w:rFonts w:ascii="Segoe UI" w:hAnsi="Segoe UI" w:cs="Segoe UI"/>
          <w:sz w:val="22"/>
          <w:szCs w:val="22"/>
        </w:rPr>
        <w:t>, f</w:t>
      </w:r>
      <w:r w:rsidR="000657AE" w:rsidRPr="000657AE">
        <w:rPr>
          <w:rFonts w:ascii="Segoe UI" w:hAnsi="Segoe UI" w:cs="Segoe UI"/>
          <w:sz w:val="22"/>
          <w:szCs w:val="22"/>
        </w:rPr>
        <w:t>ederal regulations under 29 CFR Part 29 and 30</w:t>
      </w:r>
      <w:r w:rsidR="000657AE">
        <w:rPr>
          <w:rFonts w:ascii="Segoe UI" w:hAnsi="Segoe UI" w:cs="Segoe UI"/>
          <w:sz w:val="22"/>
          <w:szCs w:val="22"/>
        </w:rPr>
        <w:t>, and Virginia Works Registered Apprenticeship Program requirements.</w:t>
      </w:r>
    </w:p>
    <w:p w14:paraId="605F42F1" w14:textId="77777777" w:rsidR="00A677DF" w:rsidRPr="000901EC" w:rsidRDefault="00A677DF" w:rsidP="00FC6306">
      <w:pPr>
        <w:rPr>
          <w:rFonts w:ascii="Segoe UI" w:hAnsi="Segoe UI" w:cs="Segoe UI"/>
          <w:b/>
          <w:bCs/>
          <w:sz w:val="22"/>
          <w:szCs w:val="22"/>
        </w:rPr>
      </w:pPr>
    </w:p>
    <w:p w14:paraId="193B38A4" w14:textId="77777777" w:rsidR="00A677DF" w:rsidRPr="000901EC" w:rsidRDefault="00A677DF" w:rsidP="00FC6306">
      <w:pPr>
        <w:rPr>
          <w:rFonts w:ascii="Segoe UI" w:hAnsi="Segoe UI" w:cs="Segoe UI"/>
          <w:b/>
          <w:bCs/>
          <w:sz w:val="22"/>
          <w:szCs w:val="22"/>
        </w:rPr>
      </w:pPr>
    </w:p>
    <w:p w14:paraId="62012BE4" w14:textId="61FDA2FE" w:rsidR="000901EC" w:rsidRPr="000901EC" w:rsidRDefault="000901EC">
      <w:pPr>
        <w:rPr>
          <w:rFonts w:ascii="Segoe UI" w:hAnsi="Segoe UI" w:cs="Segoe UI"/>
          <w:b/>
          <w:bCs/>
          <w:sz w:val="22"/>
          <w:szCs w:val="22"/>
        </w:rPr>
      </w:pPr>
      <w:r w:rsidRPr="000901EC">
        <w:rPr>
          <w:rFonts w:ascii="Segoe UI" w:hAnsi="Segoe UI" w:cs="Segoe UI"/>
          <w:b/>
          <w:bCs/>
          <w:sz w:val="22"/>
          <w:szCs w:val="22"/>
        </w:rPr>
        <w:br w:type="page"/>
      </w:r>
    </w:p>
    <w:p w14:paraId="5A62C9F5" w14:textId="77777777" w:rsidR="000901EC" w:rsidRPr="000901EC" w:rsidRDefault="000901EC" w:rsidP="00FC6306">
      <w:pPr>
        <w:rPr>
          <w:rFonts w:ascii="Segoe UI" w:hAnsi="Segoe UI" w:cs="Segoe UI"/>
          <w:b/>
          <w:bCs/>
          <w:sz w:val="22"/>
          <w:szCs w:val="22"/>
        </w:rPr>
      </w:pPr>
    </w:p>
    <w:p w14:paraId="50F7A260" w14:textId="40CDA683" w:rsidR="00A677DF" w:rsidRPr="000901EC" w:rsidRDefault="00A677DF" w:rsidP="00FC6306">
      <w:pPr>
        <w:rPr>
          <w:rFonts w:ascii="Segoe UI" w:hAnsi="Segoe UI" w:cs="Segoe UI"/>
          <w:b/>
          <w:bCs/>
          <w:sz w:val="22"/>
          <w:szCs w:val="22"/>
        </w:rPr>
      </w:pPr>
      <w:r w:rsidRPr="000901EC">
        <w:rPr>
          <w:rFonts w:ascii="Segoe UI" w:hAnsi="Segoe UI" w:cs="Segoe UI"/>
          <w:b/>
          <w:bCs/>
          <w:sz w:val="22"/>
          <w:szCs w:val="22"/>
        </w:rPr>
        <w:t xml:space="preserve">Signature of </w:t>
      </w:r>
      <w:r w:rsidR="00103D93">
        <w:rPr>
          <w:rFonts w:ascii="Segoe UI" w:hAnsi="Segoe UI" w:cs="Segoe UI"/>
          <w:b/>
          <w:bCs/>
          <w:sz w:val="22"/>
          <w:szCs w:val="22"/>
        </w:rPr>
        <w:t>P</w:t>
      </w:r>
      <w:r w:rsidRPr="000901EC">
        <w:rPr>
          <w:rFonts w:ascii="Segoe UI" w:hAnsi="Segoe UI" w:cs="Segoe UI"/>
          <w:b/>
          <w:bCs/>
          <w:sz w:val="22"/>
          <w:szCs w:val="22"/>
        </w:rPr>
        <w:t xml:space="preserve">olicy </w:t>
      </w:r>
      <w:r w:rsidR="008064D3" w:rsidRPr="000901EC">
        <w:rPr>
          <w:rFonts w:ascii="Segoe UI" w:hAnsi="Segoe UI" w:cs="Segoe UI"/>
          <w:b/>
          <w:bCs/>
          <w:sz w:val="22"/>
          <w:szCs w:val="22"/>
        </w:rPr>
        <w:t>C</w:t>
      </w:r>
      <w:r w:rsidRPr="000901EC">
        <w:rPr>
          <w:rFonts w:ascii="Segoe UI" w:hAnsi="Segoe UI" w:cs="Segoe UI"/>
          <w:b/>
          <w:bCs/>
          <w:sz w:val="22"/>
          <w:szCs w:val="22"/>
        </w:rPr>
        <w:t xml:space="preserve">reator: </w:t>
      </w:r>
    </w:p>
    <w:p w14:paraId="3441341E" w14:textId="77777777" w:rsidR="000901EC" w:rsidRPr="000901EC" w:rsidRDefault="000901EC" w:rsidP="00A677DF">
      <w:pPr>
        <w:rPr>
          <w:rFonts w:ascii="Segoe UI" w:hAnsi="Segoe UI" w:cs="Segoe UI"/>
          <w:b/>
          <w:bCs/>
          <w:sz w:val="22"/>
          <w:szCs w:val="22"/>
        </w:rPr>
      </w:pPr>
    </w:p>
    <w:p w14:paraId="6304D5F1" w14:textId="1AEA941F" w:rsidR="00A677DF" w:rsidRPr="000901EC" w:rsidRDefault="00A677DF" w:rsidP="00A677DF">
      <w:pPr>
        <w:rPr>
          <w:rFonts w:ascii="Segoe UI" w:hAnsi="Segoe UI" w:cs="Segoe UI"/>
          <w:b/>
          <w:bCs/>
          <w:sz w:val="22"/>
          <w:szCs w:val="22"/>
        </w:rPr>
      </w:pPr>
      <w:r w:rsidRPr="000901EC">
        <w:rPr>
          <w:rFonts w:ascii="Segoe UI" w:hAnsi="Segoe UI" w:cs="Segoe UI"/>
          <w:b/>
          <w:bCs/>
          <w:sz w:val="22"/>
          <w:szCs w:val="22"/>
        </w:rPr>
        <w:t>_____________________</w:t>
      </w:r>
      <w:r w:rsidR="008B16A2" w:rsidRPr="000901EC">
        <w:rPr>
          <w:rFonts w:ascii="Segoe UI" w:hAnsi="Segoe UI" w:cs="Segoe UI"/>
          <w:b/>
          <w:bCs/>
          <w:sz w:val="22"/>
          <w:szCs w:val="22"/>
        </w:rPr>
        <w:t>_______________</w:t>
      </w:r>
      <w:r w:rsidRPr="000901EC">
        <w:rPr>
          <w:rFonts w:ascii="Segoe UI" w:hAnsi="Segoe UI" w:cs="Segoe UI"/>
          <w:b/>
          <w:bCs/>
          <w:sz w:val="22"/>
          <w:szCs w:val="22"/>
        </w:rPr>
        <w:t>___</w:t>
      </w:r>
      <w:r w:rsidR="008B16A2" w:rsidRPr="000901EC">
        <w:rPr>
          <w:rFonts w:ascii="Segoe UI" w:hAnsi="Segoe UI" w:cs="Segoe UI"/>
          <w:b/>
          <w:bCs/>
          <w:sz w:val="22"/>
          <w:szCs w:val="22"/>
        </w:rPr>
        <w:t>___________</w:t>
      </w:r>
      <w:r w:rsidRPr="000901EC">
        <w:rPr>
          <w:rFonts w:ascii="Segoe UI" w:hAnsi="Segoe UI" w:cs="Segoe UI"/>
          <w:b/>
          <w:bCs/>
          <w:sz w:val="22"/>
          <w:szCs w:val="22"/>
        </w:rPr>
        <w:t>______________________ / Date: _____</w:t>
      </w:r>
      <w:r w:rsidR="008B16A2" w:rsidRPr="000901EC">
        <w:rPr>
          <w:rFonts w:ascii="Segoe UI" w:hAnsi="Segoe UI" w:cs="Segoe UI"/>
          <w:b/>
          <w:bCs/>
          <w:sz w:val="22"/>
          <w:szCs w:val="22"/>
        </w:rPr>
        <w:t>_________</w:t>
      </w:r>
      <w:r w:rsidRPr="000901EC">
        <w:rPr>
          <w:rFonts w:ascii="Segoe UI" w:hAnsi="Segoe UI" w:cs="Segoe UI"/>
          <w:b/>
          <w:bCs/>
          <w:sz w:val="22"/>
          <w:szCs w:val="22"/>
        </w:rPr>
        <w:t>_______</w:t>
      </w:r>
    </w:p>
    <w:p w14:paraId="602DAF76" w14:textId="77777777" w:rsidR="00782487" w:rsidRPr="000901EC" w:rsidRDefault="00782487" w:rsidP="00FC6306">
      <w:pPr>
        <w:rPr>
          <w:rFonts w:ascii="Segoe UI" w:hAnsi="Segoe UI" w:cs="Segoe UI"/>
          <w:b/>
          <w:bCs/>
          <w:sz w:val="22"/>
          <w:szCs w:val="22"/>
        </w:rPr>
      </w:pPr>
    </w:p>
    <w:p w14:paraId="40697BC8" w14:textId="2C79B56D" w:rsidR="00A677DF" w:rsidRPr="000901EC" w:rsidRDefault="00A677DF" w:rsidP="00FC6306">
      <w:pPr>
        <w:rPr>
          <w:rFonts w:ascii="Segoe UI" w:hAnsi="Segoe UI" w:cs="Segoe UI"/>
          <w:b/>
          <w:bCs/>
          <w:sz w:val="22"/>
          <w:szCs w:val="22"/>
        </w:rPr>
      </w:pPr>
      <w:r w:rsidRPr="000901EC">
        <w:rPr>
          <w:rFonts w:ascii="Segoe UI" w:hAnsi="Segoe UI" w:cs="Segoe UI"/>
          <w:b/>
          <w:bCs/>
          <w:sz w:val="22"/>
          <w:szCs w:val="22"/>
        </w:rPr>
        <w:t xml:space="preserve">Signature of </w:t>
      </w:r>
      <w:r w:rsidR="00103D93">
        <w:rPr>
          <w:rFonts w:ascii="Segoe UI" w:hAnsi="Segoe UI" w:cs="Segoe UI"/>
          <w:b/>
          <w:bCs/>
          <w:sz w:val="22"/>
          <w:szCs w:val="22"/>
        </w:rPr>
        <w:t>P</w:t>
      </w:r>
      <w:r w:rsidRPr="000901EC">
        <w:rPr>
          <w:rFonts w:ascii="Segoe UI" w:hAnsi="Segoe UI" w:cs="Segoe UI"/>
          <w:b/>
          <w:bCs/>
          <w:sz w:val="22"/>
          <w:szCs w:val="22"/>
        </w:rPr>
        <w:t>olicy Reviewer:</w:t>
      </w:r>
    </w:p>
    <w:p w14:paraId="76FFB427" w14:textId="77777777" w:rsidR="000901EC" w:rsidRPr="000901EC" w:rsidRDefault="000901EC" w:rsidP="00FC6306">
      <w:pPr>
        <w:rPr>
          <w:rFonts w:ascii="Segoe UI" w:hAnsi="Segoe UI" w:cs="Segoe UI"/>
          <w:b/>
          <w:bCs/>
          <w:sz w:val="22"/>
          <w:szCs w:val="22"/>
        </w:rPr>
      </w:pPr>
    </w:p>
    <w:p w14:paraId="55AA095C" w14:textId="447927FB" w:rsidR="00A677DF" w:rsidRPr="000901EC" w:rsidRDefault="00A677DF" w:rsidP="00FC6306">
      <w:pPr>
        <w:rPr>
          <w:rFonts w:ascii="Segoe UI" w:hAnsi="Segoe UI" w:cs="Segoe UI"/>
          <w:b/>
          <w:bCs/>
          <w:sz w:val="22"/>
          <w:szCs w:val="22"/>
        </w:rPr>
      </w:pPr>
      <w:r w:rsidRPr="000901EC">
        <w:rPr>
          <w:rFonts w:ascii="Segoe UI" w:hAnsi="Segoe UI" w:cs="Segoe UI"/>
          <w:b/>
          <w:bCs/>
          <w:sz w:val="22"/>
          <w:szCs w:val="22"/>
        </w:rPr>
        <w:t>__________________________</w:t>
      </w:r>
      <w:r w:rsidR="008B16A2" w:rsidRPr="000901EC">
        <w:rPr>
          <w:rFonts w:ascii="Segoe UI" w:hAnsi="Segoe UI" w:cs="Segoe UI"/>
          <w:b/>
          <w:bCs/>
          <w:sz w:val="22"/>
          <w:szCs w:val="22"/>
        </w:rPr>
        <w:t>________________________</w:t>
      </w:r>
      <w:r w:rsidRPr="000901EC">
        <w:rPr>
          <w:rFonts w:ascii="Segoe UI" w:hAnsi="Segoe UI" w:cs="Segoe UI"/>
          <w:b/>
          <w:bCs/>
          <w:sz w:val="22"/>
          <w:szCs w:val="22"/>
        </w:rPr>
        <w:t>______________________ / Date: ____</w:t>
      </w:r>
      <w:r w:rsidR="008800DC" w:rsidRPr="000901EC">
        <w:rPr>
          <w:rFonts w:ascii="Segoe UI" w:hAnsi="Segoe UI" w:cs="Segoe UI"/>
          <w:b/>
          <w:bCs/>
          <w:sz w:val="22"/>
          <w:szCs w:val="22"/>
        </w:rPr>
        <w:t>_________</w:t>
      </w:r>
      <w:r w:rsidRPr="000901EC">
        <w:rPr>
          <w:rFonts w:ascii="Segoe UI" w:hAnsi="Segoe UI" w:cs="Segoe UI"/>
          <w:b/>
          <w:bCs/>
          <w:sz w:val="22"/>
          <w:szCs w:val="22"/>
        </w:rPr>
        <w:t>________</w:t>
      </w:r>
    </w:p>
    <w:sectPr w:rsidR="00A677DF" w:rsidRPr="000901EC" w:rsidSect="00246EA1">
      <w:headerReference w:type="default" r:id="rId14"/>
      <w:pgSz w:w="12240" w:h="15840"/>
      <w:pgMar w:top="720" w:right="864"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3A36F" w14:textId="77777777" w:rsidR="00E50A57" w:rsidRDefault="00E50A57" w:rsidP="00040E48">
      <w:pPr>
        <w:spacing w:after="0" w:line="240" w:lineRule="auto"/>
      </w:pPr>
      <w:r>
        <w:separator/>
      </w:r>
    </w:p>
  </w:endnote>
  <w:endnote w:type="continuationSeparator" w:id="0">
    <w:p w14:paraId="4BD557A9" w14:textId="77777777" w:rsidR="00E50A57" w:rsidRDefault="00E50A57" w:rsidP="0004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CF64" w14:textId="77777777" w:rsidR="00E50A57" w:rsidRDefault="00E50A57" w:rsidP="00040E48">
      <w:pPr>
        <w:spacing w:after="0" w:line="240" w:lineRule="auto"/>
      </w:pPr>
      <w:r>
        <w:separator/>
      </w:r>
    </w:p>
  </w:footnote>
  <w:footnote w:type="continuationSeparator" w:id="0">
    <w:p w14:paraId="4E3D1B6F" w14:textId="77777777" w:rsidR="00E50A57" w:rsidRDefault="00E50A57" w:rsidP="0004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9926" w14:textId="4216427F" w:rsidR="00040E48" w:rsidRDefault="00040E48" w:rsidP="00040E48">
    <w:pPr>
      <w:pStyle w:val="Header"/>
      <w:jc w:val="right"/>
    </w:pPr>
    <w:r>
      <w:rPr>
        <w:noProof/>
      </w:rPr>
      <w:drawing>
        <wp:inline distT="0" distB="0" distL="0" distR="0" wp14:anchorId="751AD86E" wp14:editId="21EDE481">
          <wp:extent cx="4267199" cy="1066800"/>
          <wp:effectExtent l="0" t="0" r="0" b="0"/>
          <wp:docPr id="422739026"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39026" name="Picture 1" descr="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67199" cy="10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4F20"/>
    <w:multiLevelType w:val="multilevel"/>
    <w:tmpl w:val="A320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01943"/>
    <w:multiLevelType w:val="multilevel"/>
    <w:tmpl w:val="269E0892"/>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Segoe UI" w:hAnsi="Segoe UI" w:cs="Segoe UI" w:hint="default"/>
        <w:b w:val="0"/>
        <w:bCs w:val="0"/>
      </w:rPr>
    </w:lvl>
    <w:lvl w:ilvl="2">
      <w:start w:val="1"/>
      <w:numFmt w:val="lowerLetter"/>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771372"/>
    <w:multiLevelType w:val="multilevel"/>
    <w:tmpl w:val="4408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96C66"/>
    <w:multiLevelType w:val="hybridMultilevel"/>
    <w:tmpl w:val="AD901D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90C87"/>
    <w:multiLevelType w:val="hybridMultilevel"/>
    <w:tmpl w:val="8D9401F2"/>
    <w:lvl w:ilvl="0" w:tplc="07DE0C62">
      <w:start w:val="1"/>
      <w:numFmt w:val="upperLetter"/>
      <w:lvlText w:val="%1."/>
      <w:lvlJc w:val="left"/>
      <w:pPr>
        <w:ind w:left="630" w:hanging="360"/>
      </w:pPr>
      <w:rPr>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0650B34"/>
    <w:multiLevelType w:val="multilevel"/>
    <w:tmpl w:val="45D42D2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C12A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277940"/>
    <w:multiLevelType w:val="multilevel"/>
    <w:tmpl w:val="45D42D2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E94BC5"/>
    <w:multiLevelType w:val="hybridMultilevel"/>
    <w:tmpl w:val="167631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E245F"/>
    <w:multiLevelType w:val="hybridMultilevel"/>
    <w:tmpl w:val="E7240282"/>
    <w:lvl w:ilvl="0" w:tplc="27EE3580">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54777"/>
    <w:multiLevelType w:val="multilevel"/>
    <w:tmpl w:val="45D42D2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44331039">
    <w:abstractNumId w:val="8"/>
  </w:num>
  <w:num w:numId="2" w16cid:durableId="440998921">
    <w:abstractNumId w:val="4"/>
  </w:num>
  <w:num w:numId="3" w16cid:durableId="1032658216">
    <w:abstractNumId w:val="3"/>
  </w:num>
  <w:num w:numId="4" w16cid:durableId="1916285041">
    <w:abstractNumId w:val="9"/>
  </w:num>
  <w:num w:numId="5" w16cid:durableId="1902713498">
    <w:abstractNumId w:val="2"/>
  </w:num>
  <w:num w:numId="6" w16cid:durableId="520433351">
    <w:abstractNumId w:val="0"/>
  </w:num>
  <w:num w:numId="7" w16cid:durableId="128785358">
    <w:abstractNumId w:val="6"/>
  </w:num>
  <w:num w:numId="8" w16cid:durableId="1900284031">
    <w:abstractNumId w:val="7"/>
  </w:num>
  <w:num w:numId="9" w16cid:durableId="857085629">
    <w:abstractNumId w:val="10"/>
  </w:num>
  <w:num w:numId="10" w16cid:durableId="89470508">
    <w:abstractNumId w:val="5"/>
  </w:num>
  <w:num w:numId="11" w16cid:durableId="41907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306"/>
    <w:rsid w:val="00010065"/>
    <w:rsid w:val="00040E48"/>
    <w:rsid w:val="00047111"/>
    <w:rsid w:val="000657AE"/>
    <w:rsid w:val="00073401"/>
    <w:rsid w:val="000901EC"/>
    <w:rsid w:val="000B477B"/>
    <w:rsid w:val="000B483E"/>
    <w:rsid w:val="000D06D0"/>
    <w:rsid w:val="000D6D3B"/>
    <w:rsid w:val="000D6E81"/>
    <w:rsid w:val="000E10F0"/>
    <w:rsid w:val="000F0E23"/>
    <w:rsid w:val="00103D93"/>
    <w:rsid w:val="0018723A"/>
    <w:rsid w:val="001A1F01"/>
    <w:rsid w:val="001B626F"/>
    <w:rsid w:val="002210F5"/>
    <w:rsid w:val="00227555"/>
    <w:rsid w:val="00236969"/>
    <w:rsid w:val="00246EA1"/>
    <w:rsid w:val="00253E2B"/>
    <w:rsid w:val="00277B1A"/>
    <w:rsid w:val="002866AF"/>
    <w:rsid w:val="002C628F"/>
    <w:rsid w:val="002F0C34"/>
    <w:rsid w:val="002F3AC9"/>
    <w:rsid w:val="00355663"/>
    <w:rsid w:val="00395D86"/>
    <w:rsid w:val="003A13A3"/>
    <w:rsid w:val="003E5C7F"/>
    <w:rsid w:val="0040176D"/>
    <w:rsid w:val="00423B9B"/>
    <w:rsid w:val="00424DFE"/>
    <w:rsid w:val="004329CE"/>
    <w:rsid w:val="0043368D"/>
    <w:rsid w:val="00435D80"/>
    <w:rsid w:val="00446C81"/>
    <w:rsid w:val="004769B6"/>
    <w:rsid w:val="00490ECC"/>
    <w:rsid w:val="00495F3F"/>
    <w:rsid w:val="004B1A38"/>
    <w:rsid w:val="004C34C4"/>
    <w:rsid w:val="004C4097"/>
    <w:rsid w:val="00556D77"/>
    <w:rsid w:val="005B1AEB"/>
    <w:rsid w:val="005B34CE"/>
    <w:rsid w:val="005D0732"/>
    <w:rsid w:val="005D1FFC"/>
    <w:rsid w:val="005E4A7B"/>
    <w:rsid w:val="0060218F"/>
    <w:rsid w:val="00615B51"/>
    <w:rsid w:val="006711CE"/>
    <w:rsid w:val="00684EB7"/>
    <w:rsid w:val="00714197"/>
    <w:rsid w:val="00782487"/>
    <w:rsid w:val="007C2DF5"/>
    <w:rsid w:val="007D2453"/>
    <w:rsid w:val="007D52F4"/>
    <w:rsid w:val="007F0766"/>
    <w:rsid w:val="007F604B"/>
    <w:rsid w:val="008014BA"/>
    <w:rsid w:val="0080460D"/>
    <w:rsid w:val="008064D3"/>
    <w:rsid w:val="00823074"/>
    <w:rsid w:val="00866B7E"/>
    <w:rsid w:val="008800DC"/>
    <w:rsid w:val="008B16A2"/>
    <w:rsid w:val="008B5668"/>
    <w:rsid w:val="00901C0D"/>
    <w:rsid w:val="00931FB7"/>
    <w:rsid w:val="00984258"/>
    <w:rsid w:val="00A11AD6"/>
    <w:rsid w:val="00A232C0"/>
    <w:rsid w:val="00A61310"/>
    <w:rsid w:val="00A66CD1"/>
    <w:rsid w:val="00A677DF"/>
    <w:rsid w:val="00A70DCC"/>
    <w:rsid w:val="00A75EC4"/>
    <w:rsid w:val="00AC3978"/>
    <w:rsid w:val="00AC6C3A"/>
    <w:rsid w:val="00B00067"/>
    <w:rsid w:val="00B27EA8"/>
    <w:rsid w:val="00B62A88"/>
    <w:rsid w:val="00BA7C33"/>
    <w:rsid w:val="00BB5E59"/>
    <w:rsid w:val="00BB5FDC"/>
    <w:rsid w:val="00BD1F94"/>
    <w:rsid w:val="00BD2843"/>
    <w:rsid w:val="00C5575F"/>
    <w:rsid w:val="00CB2502"/>
    <w:rsid w:val="00CE45EA"/>
    <w:rsid w:val="00D11329"/>
    <w:rsid w:val="00D13D0E"/>
    <w:rsid w:val="00D311C0"/>
    <w:rsid w:val="00D4595E"/>
    <w:rsid w:val="00D77ECF"/>
    <w:rsid w:val="00E42906"/>
    <w:rsid w:val="00E47A92"/>
    <w:rsid w:val="00E50A57"/>
    <w:rsid w:val="00E55420"/>
    <w:rsid w:val="00E60519"/>
    <w:rsid w:val="00E651BF"/>
    <w:rsid w:val="00E67CEC"/>
    <w:rsid w:val="00E80B82"/>
    <w:rsid w:val="00ED1706"/>
    <w:rsid w:val="00EF505F"/>
    <w:rsid w:val="00F03158"/>
    <w:rsid w:val="00F15873"/>
    <w:rsid w:val="00F27077"/>
    <w:rsid w:val="00F41A0D"/>
    <w:rsid w:val="00F56A45"/>
    <w:rsid w:val="00F77B0A"/>
    <w:rsid w:val="00FB6EA4"/>
    <w:rsid w:val="00FC5709"/>
    <w:rsid w:val="00FC6306"/>
    <w:rsid w:val="00FD2EB1"/>
    <w:rsid w:val="025D4F79"/>
    <w:rsid w:val="0369E932"/>
    <w:rsid w:val="03707C3D"/>
    <w:rsid w:val="146A3BCB"/>
    <w:rsid w:val="1510494C"/>
    <w:rsid w:val="1863E28D"/>
    <w:rsid w:val="18D78373"/>
    <w:rsid w:val="1EC67826"/>
    <w:rsid w:val="1EDDBC54"/>
    <w:rsid w:val="1EE69A35"/>
    <w:rsid w:val="2184D332"/>
    <w:rsid w:val="28336ABA"/>
    <w:rsid w:val="2C58FB4F"/>
    <w:rsid w:val="2CF02D86"/>
    <w:rsid w:val="3286788D"/>
    <w:rsid w:val="3716AA3D"/>
    <w:rsid w:val="3B7327C1"/>
    <w:rsid w:val="41B2B503"/>
    <w:rsid w:val="41ED31EC"/>
    <w:rsid w:val="47F1063C"/>
    <w:rsid w:val="4FBB0463"/>
    <w:rsid w:val="501C0DEB"/>
    <w:rsid w:val="550DCA12"/>
    <w:rsid w:val="5A0A05C7"/>
    <w:rsid w:val="5A35E2A5"/>
    <w:rsid w:val="6AD44178"/>
    <w:rsid w:val="6D7BD982"/>
    <w:rsid w:val="78116258"/>
    <w:rsid w:val="7C7DC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089C0"/>
  <w15:chartTrackingRefBased/>
  <w15:docId w15:val="{7EAB8E89-E2A0-4A58-80FD-7170E60A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3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3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3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3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3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3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3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3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3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3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3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3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3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3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3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3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3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306"/>
    <w:rPr>
      <w:rFonts w:eastAsiaTheme="majorEastAsia" w:cstheme="majorBidi"/>
      <w:color w:val="272727" w:themeColor="text1" w:themeTint="D8"/>
    </w:rPr>
  </w:style>
  <w:style w:type="paragraph" w:styleId="Title">
    <w:name w:val="Title"/>
    <w:basedOn w:val="Normal"/>
    <w:next w:val="Normal"/>
    <w:link w:val="TitleChar"/>
    <w:uiPriority w:val="10"/>
    <w:qFormat/>
    <w:rsid w:val="00FC63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3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3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3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306"/>
    <w:pPr>
      <w:spacing w:before="160"/>
      <w:jc w:val="center"/>
    </w:pPr>
    <w:rPr>
      <w:i/>
      <w:iCs/>
      <w:color w:val="404040" w:themeColor="text1" w:themeTint="BF"/>
    </w:rPr>
  </w:style>
  <w:style w:type="character" w:customStyle="1" w:styleId="QuoteChar">
    <w:name w:val="Quote Char"/>
    <w:basedOn w:val="DefaultParagraphFont"/>
    <w:link w:val="Quote"/>
    <w:uiPriority w:val="29"/>
    <w:rsid w:val="00FC6306"/>
    <w:rPr>
      <w:i/>
      <w:iCs/>
      <w:color w:val="404040" w:themeColor="text1" w:themeTint="BF"/>
    </w:rPr>
  </w:style>
  <w:style w:type="paragraph" w:styleId="ListParagraph">
    <w:name w:val="List Paragraph"/>
    <w:basedOn w:val="Normal"/>
    <w:uiPriority w:val="34"/>
    <w:qFormat/>
    <w:rsid w:val="00FC6306"/>
    <w:pPr>
      <w:ind w:left="720"/>
      <w:contextualSpacing/>
    </w:pPr>
  </w:style>
  <w:style w:type="character" w:styleId="IntenseEmphasis">
    <w:name w:val="Intense Emphasis"/>
    <w:basedOn w:val="DefaultParagraphFont"/>
    <w:uiPriority w:val="21"/>
    <w:qFormat/>
    <w:rsid w:val="00FC6306"/>
    <w:rPr>
      <w:i/>
      <w:iCs/>
      <w:color w:val="0F4761" w:themeColor="accent1" w:themeShade="BF"/>
    </w:rPr>
  </w:style>
  <w:style w:type="paragraph" w:styleId="IntenseQuote">
    <w:name w:val="Intense Quote"/>
    <w:basedOn w:val="Normal"/>
    <w:next w:val="Normal"/>
    <w:link w:val="IntenseQuoteChar"/>
    <w:uiPriority w:val="30"/>
    <w:qFormat/>
    <w:rsid w:val="00FC63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306"/>
    <w:rPr>
      <w:i/>
      <w:iCs/>
      <w:color w:val="0F4761" w:themeColor="accent1" w:themeShade="BF"/>
    </w:rPr>
  </w:style>
  <w:style w:type="character" w:styleId="IntenseReference">
    <w:name w:val="Intense Reference"/>
    <w:basedOn w:val="DefaultParagraphFont"/>
    <w:uiPriority w:val="32"/>
    <w:qFormat/>
    <w:rsid w:val="00FC6306"/>
    <w:rPr>
      <w:b/>
      <w:bCs/>
      <w:smallCaps/>
      <w:color w:val="0F4761" w:themeColor="accent1" w:themeShade="BF"/>
      <w:spacing w:val="5"/>
    </w:rPr>
  </w:style>
  <w:style w:type="table" w:styleId="TableGrid">
    <w:name w:val="Table Grid"/>
    <w:basedOn w:val="TableNormal"/>
    <w:uiPriority w:val="39"/>
    <w:rsid w:val="00E60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0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E48"/>
  </w:style>
  <w:style w:type="paragraph" w:styleId="Footer">
    <w:name w:val="footer"/>
    <w:basedOn w:val="Normal"/>
    <w:link w:val="FooterChar"/>
    <w:uiPriority w:val="99"/>
    <w:unhideWhenUsed/>
    <w:rsid w:val="00040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E48"/>
  </w:style>
  <w:style w:type="paragraph" w:styleId="Revision">
    <w:name w:val="Revision"/>
    <w:hidden/>
    <w:uiPriority w:val="99"/>
    <w:semiHidden/>
    <w:rsid w:val="00F03158"/>
    <w:pPr>
      <w:spacing w:after="0" w:line="240" w:lineRule="auto"/>
    </w:pPr>
  </w:style>
  <w:style w:type="paragraph" w:styleId="NormalWeb">
    <w:name w:val="Normal (Web)"/>
    <w:basedOn w:val="Normal"/>
    <w:uiPriority w:val="99"/>
    <w:semiHidden/>
    <w:unhideWhenUsed/>
    <w:rsid w:val="005D07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D0732"/>
    <w:rPr>
      <w:b/>
      <w:bCs/>
    </w:rPr>
  </w:style>
  <w:style w:type="character" w:styleId="Hyperlink">
    <w:name w:val="Hyperlink"/>
    <w:basedOn w:val="DefaultParagraphFont"/>
    <w:uiPriority w:val="99"/>
    <w:unhideWhenUsed/>
    <w:rsid w:val="00984258"/>
    <w:rPr>
      <w:color w:val="467886" w:themeColor="hyperlink"/>
      <w:u w:val="single"/>
    </w:rPr>
  </w:style>
  <w:style w:type="character" w:styleId="UnresolvedMention">
    <w:name w:val="Unresolved Mention"/>
    <w:basedOn w:val="DefaultParagraphFont"/>
    <w:uiPriority w:val="99"/>
    <w:semiHidden/>
    <w:unhideWhenUsed/>
    <w:rsid w:val="00984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77719">
      <w:bodyDiv w:val="1"/>
      <w:marLeft w:val="0"/>
      <w:marRight w:val="0"/>
      <w:marTop w:val="0"/>
      <w:marBottom w:val="0"/>
      <w:divBdr>
        <w:top w:val="none" w:sz="0" w:space="0" w:color="auto"/>
        <w:left w:val="none" w:sz="0" w:space="0" w:color="auto"/>
        <w:bottom w:val="none" w:sz="0" w:space="0" w:color="auto"/>
        <w:right w:val="none" w:sz="0" w:space="0" w:color="auto"/>
      </w:divBdr>
    </w:div>
    <w:div w:id="1403259303">
      <w:bodyDiv w:val="1"/>
      <w:marLeft w:val="0"/>
      <w:marRight w:val="0"/>
      <w:marTop w:val="0"/>
      <w:marBottom w:val="0"/>
      <w:divBdr>
        <w:top w:val="none" w:sz="0" w:space="0" w:color="auto"/>
        <w:left w:val="none" w:sz="0" w:space="0" w:color="auto"/>
        <w:bottom w:val="none" w:sz="0" w:space="0" w:color="auto"/>
        <w:right w:val="none" w:sz="0" w:space="0" w:color="auto"/>
      </w:divBdr>
    </w:div>
    <w:div w:id="1550998843">
      <w:bodyDiv w:val="1"/>
      <w:marLeft w:val="0"/>
      <w:marRight w:val="0"/>
      <w:marTop w:val="0"/>
      <w:marBottom w:val="0"/>
      <w:divBdr>
        <w:top w:val="none" w:sz="0" w:space="0" w:color="auto"/>
        <w:left w:val="none" w:sz="0" w:space="0" w:color="auto"/>
        <w:bottom w:val="none" w:sz="0" w:space="0" w:color="auto"/>
        <w:right w:val="none" w:sz="0" w:space="0" w:color="auto"/>
      </w:divBdr>
    </w:div>
    <w:div w:id="1754666240">
      <w:bodyDiv w:val="1"/>
      <w:marLeft w:val="0"/>
      <w:marRight w:val="0"/>
      <w:marTop w:val="0"/>
      <w:marBottom w:val="0"/>
      <w:divBdr>
        <w:top w:val="none" w:sz="0" w:space="0" w:color="auto"/>
        <w:left w:val="none" w:sz="0" w:space="0" w:color="auto"/>
        <w:bottom w:val="none" w:sz="0" w:space="0" w:color="auto"/>
        <w:right w:val="none" w:sz="0" w:space="0" w:color="auto"/>
      </w:divBdr>
    </w:div>
    <w:div w:id="21077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9/section-30.1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aw.lis.virginia.gov/admincode/title16/agency20/chapter21/section5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9/subtitle-A/part-3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vgov.sharepoint.com/:w:/r/sites/TM-DWDA-Agency-Apprenticeship/Shared%20Documents/Apprenticeship/Policy%20%26%20DOL%20Bulletins/Policy/To%20Be%20Approved/Credit%20Awarded%20for%20Prior%20experience%20-%20RA.docx?d=w8530174110a64c2ca43b9ca8d5e825b1&amp;csf=1&amp;web=1&amp;e=KuiF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2221310FCE7247A85B0F02F60021A2" ma:contentTypeVersion="14" ma:contentTypeDescription="Create a new document." ma:contentTypeScope="" ma:versionID="40abf04164c809a223299b8fd5337c35">
  <xsd:schema xmlns:xsd="http://www.w3.org/2001/XMLSchema" xmlns:xs="http://www.w3.org/2001/XMLSchema" xmlns:p="http://schemas.microsoft.com/office/2006/metadata/properties" xmlns:ns2="3cc5dc43-32ea-42d2-ae21-9153d76f583a" xmlns:ns3="b488353a-bc05-4bde-a7a7-4d4637f75cf6" targetNamespace="http://schemas.microsoft.com/office/2006/metadata/properties" ma:root="true" ma:fieldsID="0854070c3e17b7ce833a49f588a6b8e3" ns2:_="" ns3:_="">
    <xsd:import namespace="3cc5dc43-32ea-42d2-ae21-9153d76f583a"/>
    <xsd:import namespace="b488353a-bc05-4bde-a7a7-4d4637f75c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5dc43-32ea-42d2-ae21-9153d76f58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88353a-bc05-4bde-a7a7-4d4637f75c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88353a-bc05-4bde-a7a7-4d4637f75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BD841-5D0A-49C3-8FC1-6195CFA1EA70}">
  <ds:schemaRefs>
    <ds:schemaRef ds:uri="http://schemas.microsoft.com/sharepoint/v3/contenttype/forms"/>
  </ds:schemaRefs>
</ds:datastoreItem>
</file>

<file path=customXml/itemProps2.xml><?xml version="1.0" encoding="utf-8"?>
<ds:datastoreItem xmlns:ds="http://schemas.openxmlformats.org/officeDocument/2006/customXml" ds:itemID="{5BE8CF64-9C5D-4D70-9F9A-4E4B55C28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5dc43-32ea-42d2-ae21-9153d76f583a"/>
    <ds:schemaRef ds:uri="b488353a-bc05-4bde-a7a7-4d4637f75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22F91-BFCD-4B40-8BEF-FBF8955F8910}">
  <ds:schemaRefs>
    <ds:schemaRef ds:uri="3cc5dc43-32ea-42d2-ae21-9153d76f583a"/>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b488353a-bc05-4bde-a7a7-4d4637f75cf6"/>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1289</Words>
  <Characters>8135</Characters>
  <Application>Microsoft Office Word</Application>
  <DocSecurity>0</DocSecurity>
  <Lines>159</Lines>
  <Paragraphs>74</Paragraphs>
  <ScaleCrop>false</ScaleCrop>
  <Company>VITA</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Diana (VIRGINIA WORKS)</dc:creator>
  <cp:keywords/>
  <dc:description/>
  <cp:lastModifiedBy>Overley, Nicole (VIRGINIA WORKS)</cp:lastModifiedBy>
  <cp:revision>3</cp:revision>
  <dcterms:created xsi:type="dcterms:W3CDTF">2025-09-16T00:28:00Z</dcterms:created>
  <dcterms:modified xsi:type="dcterms:W3CDTF">2025-09-16T00:34:00Z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0x0101004F2221310FCE7247A85B0F02F60021A2</vt:lpwstr>
  </property>
  <property fmtid="{D5CDD505-2E9C-101B-9397-08002B2CF9AE}" pid="3" name="MediaServiceImageTags">
    <vt:lpwstr/>
  </property>
</Properties>
</file>